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DE47" w14:textId="77777777" w:rsidR="4D26C664" w:rsidRDefault="4D26C664" w:rsidP="4D26C664">
      <w:pPr>
        <w:spacing w:line="480" w:lineRule="auto"/>
        <w:jc w:val="center"/>
        <w:rPr>
          <w:rFonts w:eastAsia="Microsoft Sans Serif"/>
          <w:color w:val="000000" w:themeColor="text1"/>
          <w:sz w:val="28"/>
          <w:szCs w:val="28"/>
          <w:lang w:bidi="ru-RU"/>
        </w:rPr>
      </w:pPr>
      <w:r w:rsidRPr="4D26C664">
        <w:rPr>
          <w:rFonts w:eastAsia="Microsoft Sans Serif"/>
          <w:color w:val="000000" w:themeColor="text1"/>
          <w:sz w:val="28"/>
          <w:szCs w:val="28"/>
          <w:lang w:bidi="ru-RU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8685"/>
        <w:gridCol w:w="660"/>
      </w:tblGrid>
      <w:tr w:rsidR="4D26C664" w14:paraId="6D293608" w14:textId="77777777" w:rsidTr="00C61970">
        <w:trPr>
          <w:trHeight w:val="300"/>
        </w:trPr>
        <w:tc>
          <w:tcPr>
            <w:tcW w:w="8685" w:type="dxa"/>
          </w:tcPr>
          <w:p w14:paraId="57CA1D7D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Введение.......................................................................................................</w:t>
            </w:r>
          </w:p>
        </w:tc>
        <w:tc>
          <w:tcPr>
            <w:tcW w:w="660" w:type="dxa"/>
          </w:tcPr>
          <w:p w14:paraId="7FDA1A20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</w:tr>
      <w:tr w:rsidR="4D26C664" w14:paraId="2D4DC56A" w14:textId="77777777" w:rsidTr="00C61970">
        <w:trPr>
          <w:trHeight w:val="300"/>
        </w:trPr>
        <w:tc>
          <w:tcPr>
            <w:tcW w:w="8685" w:type="dxa"/>
          </w:tcPr>
          <w:p w14:paraId="610ACD36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Глава 1. Теоретические основы залогового кредитования......................</w:t>
            </w:r>
          </w:p>
        </w:tc>
        <w:tc>
          <w:tcPr>
            <w:tcW w:w="660" w:type="dxa"/>
          </w:tcPr>
          <w:p w14:paraId="766F77A4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</w:tr>
      <w:tr w:rsidR="4D26C664" w14:paraId="11602FF2" w14:textId="77777777" w:rsidTr="00C61970">
        <w:trPr>
          <w:trHeight w:val="300"/>
        </w:trPr>
        <w:tc>
          <w:tcPr>
            <w:tcW w:w="8685" w:type="dxa"/>
          </w:tcPr>
          <w:p w14:paraId="1B9B50A5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1.1 Понятие и значение кредитования.......................................................</w:t>
            </w:r>
          </w:p>
        </w:tc>
        <w:tc>
          <w:tcPr>
            <w:tcW w:w="660" w:type="dxa"/>
          </w:tcPr>
          <w:p w14:paraId="30719B51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</w:tr>
      <w:tr w:rsidR="4D26C664" w14:paraId="16016C49" w14:textId="77777777" w:rsidTr="00C61970">
        <w:trPr>
          <w:trHeight w:val="300"/>
        </w:trPr>
        <w:tc>
          <w:tcPr>
            <w:tcW w:w="8685" w:type="dxa"/>
          </w:tcPr>
          <w:p w14:paraId="321C0F43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1.2 Место и содержание банковского кредитования................................</w:t>
            </w:r>
          </w:p>
        </w:tc>
        <w:tc>
          <w:tcPr>
            <w:tcW w:w="660" w:type="dxa"/>
          </w:tcPr>
          <w:p w14:paraId="79824797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</w:tr>
      <w:tr w:rsidR="4D26C664" w14:paraId="0B6ED449" w14:textId="77777777" w:rsidTr="00C61970">
        <w:trPr>
          <w:trHeight w:val="300"/>
        </w:trPr>
        <w:tc>
          <w:tcPr>
            <w:tcW w:w="8685" w:type="dxa"/>
          </w:tcPr>
          <w:p w14:paraId="4FA3ECE2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1.3 Содержание и значение залогового кредитования в коммерческом банке..............................................................................................................</w:t>
            </w:r>
          </w:p>
        </w:tc>
        <w:tc>
          <w:tcPr>
            <w:tcW w:w="660" w:type="dxa"/>
          </w:tcPr>
          <w:p w14:paraId="5EC37510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17</w:t>
            </w:r>
          </w:p>
        </w:tc>
      </w:tr>
      <w:tr w:rsidR="4D26C664" w14:paraId="13988BFD" w14:textId="77777777" w:rsidTr="00C61970">
        <w:trPr>
          <w:trHeight w:val="300"/>
        </w:trPr>
        <w:tc>
          <w:tcPr>
            <w:tcW w:w="8685" w:type="dxa"/>
          </w:tcPr>
          <w:p w14:paraId="35D2B675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Глава 2. Анализ залогового кредитования, на примере (АО “Россельхозбанк</w:t>
            </w:r>
            <w:proofErr w:type="gramStart"/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”)…</w:t>
            </w:r>
            <w:proofErr w:type="gramEnd"/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....................................................................................</w:t>
            </w:r>
          </w:p>
        </w:tc>
        <w:tc>
          <w:tcPr>
            <w:tcW w:w="660" w:type="dxa"/>
          </w:tcPr>
          <w:p w14:paraId="6FAE7A59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32</w:t>
            </w:r>
          </w:p>
        </w:tc>
      </w:tr>
      <w:tr w:rsidR="4D26C664" w14:paraId="44B804CE" w14:textId="77777777" w:rsidTr="00C61970">
        <w:trPr>
          <w:trHeight w:val="300"/>
        </w:trPr>
        <w:tc>
          <w:tcPr>
            <w:tcW w:w="8685" w:type="dxa"/>
          </w:tcPr>
          <w:p w14:paraId="5E3F32DD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2.1 Основные экономические показатели банка.......................................</w:t>
            </w:r>
          </w:p>
        </w:tc>
        <w:tc>
          <w:tcPr>
            <w:tcW w:w="660" w:type="dxa"/>
          </w:tcPr>
          <w:p w14:paraId="398F2CD7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32</w:t>
            </w:r>
          </w:p>
        </w:tc>
      </w:tr>
      <w:tr w:rsidR="4D26C664" w14:paraId="3CC25897" w14:textId="77777777" w:rsidTr="00C61970">
        <w:trPr>
          <w:trHeight w:val="300"/>
        </w:trPr>
        <w:tc>
          <w:tcPr>
            <w:tcW w:w="8685" w:type="dxa"/>
          </w:tcPr>
          <w:p w14:paraId="629D1E5D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2.2 Анализ кредитного портфеля с обеспечением залогом.....................</w:t>
            </w:r>
          </w:p>
        </w:tc>
        <w:tc>
          <w:tcPr>
            <w:tcW w:w="660" w:type="dxa"/>
          </w:tcPr>
          <w:p w14:paraId="40A2B339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39</w:t>
            </w:r>
          </w:p>
        </w:tc>
      </w:tr>
      <w:tr w:rsidR="4D26C664" w14:paraId="5BF77209" w14:textId="77777777" w:rsidTr="00C61970">
        <w:trPr>
          <w:trHeight w:val="300"/>
        </w:trPr>
        <w:tc>
          <w:tcPr>
            <w:tcW w:w="8685" w:type="dxa"/>
          </w:tcPr>
          <w:p w14:paraId="06CD6C41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2.3 Основные проблемы залогового кредитования..................................</w:t>
            </w:r>
          </w:p>
        </w:tc>
        <w:tc>
          <w:tcPr>
            <w:tcW w:w="660" w:type="dxa"/>
          </w:tcPr>
          <w:p w14:paraId="11BEB376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43</w:t>
            </w:r>
          </w:p>
        </w:tc>
      </w:tr>
      <w:tr w:rsidR="4D26C664" w14:paraId="5E6B61D7" w14:textId="77777777" w:rsidTr="00C61970">
        <w:trPr>
          <w:trHeight w:val="300"/>
        </w:trPr>
        <w:tc>
          <w:tcPr>
            <w:tcW w:w="8685" w:type="dxa"/>
          </w:tcPr>
          <w:p w14:paraId="3EDE97A4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Глава 3. Пути решения выявленных проблем...........................................</w:t>
            </w:r>
          </w:p>
        </w:tc>
        <w:tc>
          <w:tcPr>
            <w:tcW w:w="660" w:type="dxa"/>
          </w:tcPr>
          <w:p w14:paraId="7C6C3648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48</w:t>
            </w:r>
          </w:p>
        </w:tc>
      </w:tr>
      <w:tr w:rsidR="4D26C664" w14:paraId="4CB2E3C2" w14:textId="77777777" w:rsidTr="00C61970">
        <w:trPr>
          <w:trHeight w:val="300"/>
        </w:trPr>
        <w:tc>
          <w:tcPr>
            <w:tcW w:w="8685" w:type="dxa"/>
          </w:tcPr>
          <w:p w14:paraId="58954E58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3.1 Пути решения выявленных проблем...................................................</w:t>
            </w:r>
          </w:p>
        </w:tc>
        <w:tc>
          <w:tcPr>
            <w:tcW w:w="660" w:type="dxa"/>
          </w:tcPr>
          <w:p w14:paraId="72EB6C9E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48</w:t>
            </w:r>
          </w:p>
        </w:tc>
      </w:tr>
      <w:tr w:rsidR="4D26C664" w14:paraId="4B2015AF" w14:textId="77777777" w:rsidTr="00C61970">
        <w:trPr>
          <w:trHeight w:val="300"/>
        </w:trPr>
        <w:tc>
          <w:tcPr>
            <w:tcW w:w="8685" w:type="dxa"/>
          </w:tcPr>
          <w:p w14:paraId="05D854C9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Заключение...................................................................................................</w:t>
            </w:r>
          </w:p>
        </w:tc>
        <w:tc>
          <w:tcPr>
            <w:tcW w:w="660" w:type="dxa"/>
          </w:tcPr>
          <w:p w14:paraId="57394530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56</w:t>
            </w:r>
          </w:p>
        </w:tc>
      </w:tr>
      <w:tr w:rsidR="4D26C664" w14:paraId="642EAF24" w14:textId="77777777" w:rsidTr="00C61970">
        <w:trPr>
          <w:trHeight w:val="300"/>
        </w:trPr>
        <w:tc>
          <w:tcPr>
            <w:tcW w:w="8685" w:type="dxa"/>
          </w:tcPr>
          <w:p w14:paraId="28ECACD9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Список использованных источников.........................................................</w:t>
            </w:r>
          </w:p>
        </w:tc>
        <w:tc>
          <w:tcPr>
            <w:tcW w:w="660" w:type="dxa"/>
          </w:tcPr>
          <w:p w14:paraId="1AAFC53F" w14:textId="77777777" w:rsidR="4D26C664" w:rsidRDefault="4D26C664" w:rsidP="4D26C664">
            <w:pPr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</w:pPr>
            <w:r w:rsidRPr="4D26C664">
              <w:rPr>
                <w:rFonts w:eastAsia="Microsoft Sans Serif"/>
                <w:color w:val="000000" w:themeColor="text1"/>
                <w:sz w:val="28"/>
                <w:szCs w:val="28"/>
                <w:lang w:bidi="ru-RU"/>
              </w:rPr>
              <w:t>58</w:t>
            </w:r>
          </w:p>
        </w:tc>
      </w:tr>
    </w:tbl>
    <w:p w14:paraId="6E01ED30" w14:textId="77777777" w:rsidR="4D26C664" w:rsidRDefault="4D26C664">
      <w:r>
        <w:br w:type="page"/>
      </w:r>
    </w:p>
    <w:p w14:paraId="5AF546F8" w14:textId="77777777" w:rsidR="00F06969" w:rsidRPr="00C92E4A" w:rsidRDefault="4D26C664" w:rsidP="4D26C664">
      <w:pPr>
        <w:spacing w:line="48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  <w:r w:rsidRPr="4D26C664">
        <w:rPr>
          <w:color w:val="000000" w:themeColor="text1"/>
          <w:sz w:val="28"/>
          <w:szCs w:val="28"/>
          <w:lang w:bidi="ru-RU"/>
        </w:rPr>
        <w:lastRenderedPageBreak/>
        <w:t>ВВЕДЕНИЕ</w:t>
      </w:r>
    </w:p>
    <w:p w14:paraId="0EB06DBD" w14:textId="77777777" w:rsidR="4D26C664" w:rsidRDefault="4D26C664" w:rsidP="4D26C66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4D26C664">
        <w:rPr>
          <w:color w:val="000000" w:themeColor="text1"/>
          <w:sz w:val="28"/>
          <w:szCs w:val="28"/>
          <w:lang w:bidi="ru-RU"/>
        </w:rPr>
        <w:t xml:space="preserve">В современных экономических условиях в процессе формирования кредитных отношений между кредитором и заемщиком относительно предоставления кредитных средств на принципах срочности, возвратности и платности важное значение имеет принцип обеспеченности. Основа кредитного процесса – принятие рисков, которое должно быть разумным, контролируемым с учетом финансовых возможностей и компетенций банков. После появления новых подходов оценки принимаемых рисков банки и иные участники финансовых рынков стали рассматривать оценку кредитного риска на новом уровне, шире требований регулятора. Один из наиболее надежных инструментов диверсификации и хеджирования кредитных рисков, возникающих при кредитовании, – залог. К сожалению, практика неисполнения обязательств заёмщиками имеет частый характер, что требует развития инструментария оценки, свидетельствуя об актуальности и своевременности исследования. </w:t>
      </w:r>
    </w:p>
    <w:p w14:paraId="216EB6BE" w14:textId="77777777" w:rsidR="4D26C664" w:rsidRDefault="4D26C664" w:rsidP="4D26C664">
      <w:pPr>
        <w:spacing w:line="360" w:lineRule="auto"/>
        <w:ind w:firstLine="709"/>
        <w:jc w:val="both"/>
      </w:pPr>
      <w:r w:rsidRPr="4D26C664">
        <w:rPr>
          <w:color w:val="000000" w:themeColor="text1"/>
          <w:sz w:val="28"/>
          <w:szCs w:val="28"/>
          <w:lang w:bidi="ru-RU"/>
        </w:rPr>
        <w:t xml:space="preserve">Целью работы – многостороннее изучение разных видов залогового кредитования, аспектов оценки надежности залога банка как основного условия, выполнение которого позволяет судить о его способности удовлетворять требования кредиторов по появившейся просроченной задолженности. Достижению цели способствует решение задач: </w:t>
      </w:r>
    </w:p>
    <w:p w14:paraId="2F654AA6" w14:textId="77777777" w:rsidR="4D26C664" w:rsidRDefault="4D26C664" w:rsidP="4D26C664">
      <w:pPr>
        <w:spacing w:line="360" w:lineRule="auto"/>
        <w:ind w:firstLine="709"/>
        <w:jc w:val="both"/>
      </w:pPr>
      <w:r w:rsidRPr="4D26C664">
        <w:rPr>
          <w:color w:val="000000" w:themeColor="text1"/>
          <w:sz w:val="28"/>
          <w:szCs w:val="28"/>
          <w:lang w:bidi="ru-RU"/>
        </w:rPr>
        <w:t xml:space="preserve">– рассмотреть сущность залога, как способа обеспечения исполнения обязательств в ретроспективном и современном аспектах; </w:t>
      </w:r>
    </w:p>
    <w:p w14:paraId="5BEDA1E9" w14:textId="77777777" w:rsidR="4D26C664" w:rsidRDefault="4D26C664" w:rsidP="4D26C664">
      <w:pPr>
        <w:spacing w:line="360" w:lineRule="auto"/>
        <w:ind w:firstLine="709"/>
        <w:jc w:val="both"/>
      </w:pPr>
      <w:r w:rsidRPr="4D26C664">
        <w:rPr>
          <w:color w:val="000000" w:themeColor="text1"/>
          <w:sz w:val="28"/>
          <w:szCs w:val="28"/>
          <w:lang w:bidi="ru-RU"/>
        </w:rPr>
        <w:t xml:space="preserve">– изучить основные подходы к оценке стоимости залога, а также зарубежную практику ее оценки; </w:t>
      </w:r>
    </w:p>
    <w:p w14:paraId="46695F28" w14:textId="77777777" w:rsidR="4D26C664" w:rsidRDefault="4D26C664" w:rsidP="4D26C664">
      <w:pPr>
        <w:spacing w:line="360" w:lineRule="auto"/>
        <w:ind w:firstLine="709"/>
        <w:jc w:val="both"/>
      </w:pPr>
      <w:r w:rsidRPr="4D26C664">
        <w:rPr>
          <w:color w:val="000000" w:themeColor="text1"/>
          <w:sz w:val="28"/>
          <w:szCs w:val="28"/>
          <w:lang w:bidi="ru-RU"/>
        </w:rPr>
        <w:t xml:space="preserve">– оценить основные подходы к оценке стоимости залога и проблемы, возникающие в процессе оценки; </w:t>
      </w:r>
    </w:p>
    <w:p w14:paraId="53745081" w14:textId="77777777" w:rsidR="4D26C664" w:rsidRDefault="4D26C664" w:rsidP="4D26C664">
      <w:pPr>
        <w:spacing w:line="360" w:lineRule="auto"/>
        <w:ind w:firstLine="709"/>
        <w:jc w:val="both"/>
      </w:pPr>
      <w:r w:rsidRPr="4D26C664">
        <w:rPr>
          <w:color w:val="000000" w:themeColor="text1"/>
          <w:sz w:val="28"/>
          <w:szCs w:val="28"/>
          <w:lang w:bidi="ru-RU"/>
        </w:rPr>
        <w:t xml:space="preserve">– разработать предложения по оценке надежности залога в текущий момент и перспективе, носящих </w:t>
      </w:r>
      <w:proofErr w:type="spellStart"/>
      <w:r w:rsidRPr="4D26C664">
        <w:rPr>
          <w:color w:val="000000" w:themeColor="text1"/>
          <w:sz w:val="28"/>
          <w:szCs w:val="28"/>
          <w:lang w:bidi="ru-RU"/>
        </w:rPr>
        <w:t>антипроблемный</w:t>
      </w:r>
      <w:proofErr w:type="spellEnd"/>
      <w:r w:rsidRPr="4D26C664">
        <w:rPr>
          <w:color w:val="000000" w:themeColor="text1"/>
          <w:sz w:val="28"/>
          <w:szCs w:val="28"/>
          <w:lang w:bidi="ru-RU"/>
        </w:rPr>
        <w:t xml:space="preserve"> характер; </w:t>
      </w:r>
    </w:p>
    <w:p w14:paraId="30414FF0" w14:textId="77777777" w:rsidR="4D26C664" w:rsidRDefault="4D26C664" w:rsidP="4D26C664">
      <w:pPr>
        <w:spacing w:line="360" w:lineRule="auto"/>
        <w:ind w:firstLine="709"/>
        <w:jc w:val="both"/>
      </w:pPr>
      <w:r w:rsidRPr="4D26C664">
        <w:rPr>
          <w:color w:val="000000" w:themeColor="text1"/>
          <w:sz w:val="28"/>
          <w:szCs w:val="28"/>
          <w:lang w:bidi="ru-RU"/>
        </w:rPr>
        <w:lastRenderedPageBreak/>
        <w:t xml:space="preserve">– рассмотреть и оценить стоимость залога с позиции минимизации кредитных рисков. </w:t>
      </w:r>
    </w:p>
    <w:p w14:paraId="54A47351" w14:textId="77777777" w:rsidR="4D26C664" w:rsidRDefault="4D26C664" w:rsidP="4D26C664">
      <w:pPr>
        <w:spacing w:line="360" w:lineRule="auto"/>
        <w:ind w:firstLine="709"/>
        <w:jc w:val="both"/>
      </w:pPr>
      <w:r w:rsidRPr="4D26C664">
        <w:rPr>
          <w:color w:val="000000" w:themeColor="text1"/>
          <w:sz w:val="28"/>
          <w:szCs w:val="28"/>
          <w:lang w:bidi="ru-RU"/>
        </w:rPr>
        <w:t>Объект исследования – АО «</w:t>
      </w:r>
      <w:proofErr w:type="spellStart"/>
      <w:r w:rsidRPr="4D26C664">
        <w:rPr>
          <w:color w:val="000000" w:themeColor="text1"/>
          <w:sz w:val="28"/>
          <w:szCs w:val="28"/>
          <w:lang w:bidi="ru-RU"/>
        </w:rPr>
        <w:t>Россельхозбанк</w:t>
      </w:r>
      <w:proofErr w:type="spellEnd"/>
      <w:r w:rsidRPr="4D26C664">
        <w:rPr>
          <w:color w:val="000000" w:themeColor="text1"/>
          <w:sz w:val="28"/>
          <w:szCs w:val="28"/>
          <w:lang w:bidi="ru-RU"/>
        </w:rPr>
        <w:t>» (Ставропольский филиал). Предмет исследования – залоговое кредитование в АО «</w:t>
      </w:r>
      <w:proofErr w:type="spellStart"/>
      <w:r w:rsidRPr="4D26C664">
        <w:rPr>
          <w:color w:val="000000" w:themeColor="text1"/>
          <w:sz w:val="28"/>
          <w:szCs w:val="28"/>
          <w:lang w:bidi="ru-RU"/>
        </w:rPr>
        <w:t>Россельхозбанк</w:t>
      </w:r>
      <w:proofErr w:type="spellEnd"/>
      <w:r w:rsidRPr="4D26C664">
        <w:rPr>
          <w:color w:val="000000" w:themeColor="text1"/>
          <w:sz w:val="28"/>
          <w:szCs w:val="28"/>
          <w:lang w:bidi="ru-RU"/>
        </w:rPr>
        <w:t xml:space="preserve">». </w:t>
      </w:r>
    </w:p>
    <w:sectPr w:rsidR="4D26C664" w:rsidSect="009B073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53FC" w14:textId="77777777" w:rsidR="00BC40DD" w:rsidRDefault="00BC40DD">
      <w:r>
        <w:separator/>
      </w:r>
    </w:p>
  </w:endnote>
  <w:endnote w:type="continuationSeparator" w:id="0">
    <w:p w14:paraId="6E5FEC30" w14:textId="77777777" w:rsidR="00BC40DD" w:rsidRDefault="00BC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C61970" w14:paraId="049E8369" w14:textId="77777777" w:rsidTr="4D26C664">
      <w:trPr>
        <w:trHeight w:val="300"/>
      </w:trPr>
      <w:tc>
        <w:tcPr>
          <w:tcW w:w="3115" w:type="dxa"/>
        </w:tcPr>
        <w:p w14:paraId="51D9FFC2" w14:textId="77777777" w:rsidR="00C61970" w:rsidRDefault="00C61970" w:rsidP="4D26C664">
          <w:pPr>
            <w:pStyle w:val="a5"/>
            <w:ind w:left="-115"/>
          </w:pPr>
        </w:p>
      </w:tc>
      <w:tc>
        <w:tcPr>
          <w:tcW w:w="3115" w:type="dxa"/>
        </w:tcPr>
        <w:p w14:paraId="333587D3" w14:textId="77777777" w:rsidR="00C61970" w:rsidRDefault="00C61970" w:rsidP="4D26C664">
          <w:pPr>
            <w:pStyle w:val="a5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57DDC">
            <w:rPr>
              <w:noProof/>
            </w:rPr>
            <w:t>2</w:t>
          </w:r>
          <w:r>
            <w:fldChar w:fldCharType="end"/>
          </w:r>
        </w:p>
      </w:tc>
      <w:tc>
        <w:tcPr>
          <w:tcW w:w="3115" w:type="dxa"/>
        </w:tcPr>
        <w:p w14:paraId="27A87508" w14:textId="77777777" w:rsidR="00C61970" w:rsidRDefault="00C61970" w:rsidP="4D26C664">
          <w:pPr>
            <w:pStyle w:val="a5"/>
            <w:ind w:right="-115"/>
            <w:jc w:val="right"/>
          </w:pPr>
        </w:p>
      </w:tc>
    </w:tr>
  </w:tbl>
  <w:p w14:paraId="5023FBE8" w14:textId="77777777" w:rsidR="00C61970" w:rsidRDefault="00C61970" w:rsidP="4D26C6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C61970" w14:paraId="22CF27B4" w14:textId="77777777" w:rsidTr="4D26C664">
      <w:trPr>
        <w:trHeight w:val="300"/>
      </w:trPr>
      <w:tc>
        <w:tcPr>
          <w:tcW w:w="3115" w:type="dxa"/>
        </w:tcPr>
        <w:p w14:paraId="2CB17913" w14:textId="77777777" w:rsidR="00C61970" w:rsidRDefault="00C61970" w:rsidP="4D26C664">
          <w:pPr>
            <w:pStyle w:val="a5"/>
            <w:ind w:left="-115"/>
          </w:pPr>
        </w:p>
      </w:tc>
      <w:tc>
        <w:tcPr>
          <w:tcW w:w="3115" w:type="dxa"/>
        </w:tcPr>
        <w:p w14:paraId="2F7E941D" w14:textId="77777777" w:rsidR="00C61970" w:rsidRDefault="00C61970" w:rsidP="4D26C664">
          <w:pPr>
            <w:pStyle w:val="a5"/>
            <w:jc w:val="center"/>
          </w:pPr>
        </w:p>
      </w:tc>
      <w:tc>
        <w:tcPr>
          <w:tcW w:w="3115" w:type="dxa"/>
        </w:tcPr>
        <w:p w14:paraId="2604D795" w14:textId="77777777" w:rsidR="00C61970" w:rsidRDefault="00C61970" w:rsidP="4D26C664">
          <w:pPr>
            <w:pStyle w:val="a5"/>
            <w:ind w:right="-115"/>
            <w:jc w:val="right"/>
          </w:pPr>
        </w:p>
      </w:tc>
    </w:tr>
  </w:tbl>
  <w:p w14:paraId="0032DD31" w14:textId="77777777" w:rsidR="00C61970" w:rsidRDefault="00C61970" w:rsidP="4D26C6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FA83" w14:textId="77777777" w:rsidR="00BC40DD" w:rsidRDefault="00BC40DD">
      <w:r>
        <w:separator/>
      </w:r>
    </w:p>
  </w:footnote>
  <w:footnote w:type="continuationSeparator" w:id="0">
    <w:p w14:paraId="1121D7B5" w14:textId="77777777" w:rsidR="00BC40DD" w:rsidRDefault="00BC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C61970" w14:paraId="478B01DB" w14:textId="77777777" w:rsidTr="4D26C664">
      <w:trPr>
        <w:trHeight w:val="300"/>
      </w:trPr>
      <w:tc>
        <w:tcPr>
          <w:tcW w:w="3115" w:type="dxa"/>
        </w:tcPr>
        <w:p w14:paraId="25ECA68A" w14:textId="77777777" w:rsidR="00C61970" w:rsidRDefault="00C61970" w:rsidP="4D26C664">
          <w:pPr>
            <w:pStyle w:val="a5"/>
            <w:ind w:left="-115"/>
          </w:pPr>
        </w:p>
      </w:tc>
      <w:tc>
        <w:tcPr>
          <w:tcW w:w="3115" w:type="dxa"/>
        </w:tcPr>
        <w:p w14:paraId="02BDC485" w14:textId="77777777" w:rsidR="00C61970" w:rsidRDefault="00C61970" w:rsidP="4D26C664">
          <w:pPr>
            <w:pStyle w:val="a5"/>
            <w:jc w:val="center"/>
          </w:pPr>
        </w:p>
      </w:tc>
      <w:tc>
        <w:tcPr>
          <w:tcW w:w="3115" w:type="dxa"/>
        </w:tcPr>
        <w:p w14:paraId="4528C143" w14:textId="77777777" w:rsidR="00C61970" w:rsidRDefault="00C61970" w:rsidP="4D26C664">
          <w:pPr>
            <w:pStyle w:val="a5"/>
            <w:ind w:right="-115"/>
            <w:jc w:val="right"/>
          </w:pPr>
        </w:p>
      </w:tc>
    </w:tr>
  </w:tbl>
  <w:p w14:paraId="3AD30939" w14:textId="77777777" w:rsidR="00C61970" w:rsidRDefault="00C61970" w:rsidP="4D26C6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C61970" w14:paraId="71857A95" w14:textId="77777777" w:rsidTr="4D26C664">
      <w:trPr>
        <w:trHeight w:val="300"/>
      </w:trPr>
      <w:tc>
        <w:tcPr>
          <w:tcW w:w="3115" w:type="dxa"/>
        </w:tcPr>
        <w:p w14:paraId="4D4CFC59" w14:textId="77777777" w:rsidR="00C61970" w:rsidRDefault="00C61970" w:rsidP="4D26C664">
          <w:pPr>
            <w:pStyle w:val="a5"/>
            <w:ind w:left="-115"/>
          </w:pPr>
        </w:p>
      </w:tc>
      <w:tc>
        <w:tcPr>
          <w:tcW w:w="3115" w:type="dxa"/>
        </w:tcPr>
        <w:p w14:paraId="1D79C7B6" w14:textId="77777777" w:rsidR="00C61970" w:rsidRDefault="00C61970" w:rsidP="4D26C664">
          <w:pPr>
            <w:pStyle w:val="a5"/>
            <w:jc w:val="center"/>
          </w:pPr>
        </w:p>
      </w:tc>
      <w:tc>
        <w:tcPr>
          <w:tcW w:w="3115" w:type="dxa"/>
        </w:tcPr>
        <w:p w14:paraId="63EF61BD" w14:textId="77777777" w:rsidR="00C61970" w:rsidRDefault="00C61970" w:rsidP="4D26C664">
          <w:pPr>
            <w:pStyle w:val="a5"/>
            <w:ind w:right="-115"/>
            <w:jc w:val="right"/>
          </w:pPr>
        </w:p>
      </w:tc>
    </w:tr>
  </w:tbl>
  <w:p w14:paraId="28BC87B0" w14:textId="77777777" w:rsidR="00C61970" w:rsidRDefault="00C61970" w:rsidP="4D26C6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C0"/>
    <w:rsid w:val="000857A2"/>
    <w:rsid w:val="000A5BB2"/>
    <w:rsid w:val="000C7409"/>
    <w:rsid w:val="001D67B0"/>
    <w:rsid w:val="00295CDF"/>
    <w:rsid w:val="002D20B5"/>
    <w:rsid w:val="00574739"/>
    <w:rsid w:val="005C59AF"/>
    <w:rsid w:val="00690B0B"/>
    <w:rsid w:val="00694185"/>
    <w:rsid w:val="006B161D"/>
    <w:rsid w:val="007F14D9"/>
    <w:rsid w:val="00800CCD"/>
    <w:rsid w:val="00803135"/>
    <w:rsid w:val="00942387"/>
    <w:rsid w:val="00985E30"/>
    <w:rsid w:val="009B0737"/>
    <w:rsid w:val="00B061C0"/>
    <w:rsid w:val="00B22EA0"/>
    <w:rsid w:val="00B2575A"/>
    <w:rsid w:val="00BC40DD"/>
    <w:rsid w:val="00C22277"/>
    <w:rsid w:val="00C41042"/>
    <w:rsid w:val="00C61970"/>
    <w:rsid w:val="00CF7889"/>
    <w:rsid w:val="00EA02E5"/>
    <w:rsid w:val="00EB45FB"/>
    <w:rsid w:val="00F06969"/>
    <w:rsid w:val="00F31AD9"/>
    <w:rsid w:val="00F57DDC"/>
    <w:rsid w:val="00FA2397"/>
    <w:rsid w:val="00FB1A7D"/>
    <w:rsid w:val="00FE1DE5"/>
    <w:rsid w:val="4D26C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D070"/>
  <w15:docId w15:val="{E0B3B3AF-A691-460A-9C36-A0C520D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EB45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B45F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B4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paragraph" w:styleId="a8">
    <w:name w:val="Balloon Text"/>
    <w:basedOn w:val="a"/>
    <w:link w:val="a9"/>
    <w:uiPriority w:val="99"/>
    <w:semiHidden/>
    <w:unhideWhenUsed/>
    <w:rsid w:val="005C59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4</cp:revision>
  <dcterms:created xsi:type="dcterms:W3CDTF">2023-06-16T08:28:00Z</dcterms:created>
  <dcterms:modified xsi:type="dcterms:W3CDTF">2025-01-26T05:01:00Z</dcterms:modified>
</cp:coreProperties>
</file>