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1992175802"/>
        <w:docPartObj>
          <w:docPartGallery w:val="Table of Contents"/>
          <w:docPartUnique/>
        </w:docPartObj>
      </w:sdtPr>
      <w:sdtEndPr/>
      <w:sdtContent>
        <w:p w14:paraId="0AC587E0" w14:textId="67164E66" w:rsidR="00071AE6" w:rsidRDefault="00071AE6" w:rsidP="00071AE6">
          <w:pPr>
            <w:keepNext/>
            <w:keepLines/>
            <w:spacing w:line="360" w:lineRule="auto"/>
            <w:jc w:val="center"/>
            <w:rPr>
              <w:rFonts w:eastAsiaTheme="majorEastAsia"/>
              <w:sz w:val="28"/>
              <w:szCs w:val="28"/>
            </w:rPr>
          </w:pPr>
          <w:r w:rsidRPr="00071AE6">
            <w:rPr>
              <w:rFonts w:eastAsiaTheme="majorEastAsia"/>
              <w:sz w:val="28"/>
              <w:szCs w:val="28"/>
            </w:rPr>
            <w:t>СОДЕРЖАНИЕ</w:t>
          </w:r>
        </w:p>
        <w:p w14:paraId="5DCA9CA2" w14:textId="77777777" w:rsidR="00A45C24" w:rsidRPr="00071AE6" w:rsidRDefault="00A45C24" w:rsidP="00071AE6">
          <w:pPr>
            <w:keepNext/>
            <w:keepLines/>
            <w:spacing w:line="360" w:lineRule="auto"/>
            <w:jc w:val="center"/>
            <w:rPr>
              <w:rFonts w:eastAsiaTheme="majorEastAsia"/>
              <w:sz w:val="28"/>
              <w:szCs w:val="28"/>
            </w:rPr>
          </w:pPr>
        </w:p>
        <w:p w14:paraId="56FA4CB4" w14:textId="77777777" w:rsidR="00071AE6" w:rsidRPr="00071AE6" w:rsidRDefault="00071AE6" w:rsidP="00071AE6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14:paraId="5B5D754C" w14:textId="77777777" w:rsidR="00071AE6" w:rsidRPr="00071AE6" w:rsidRDefault="00071AE6" w:rsidP="00071AE6">
          <w:pPr>
            <w:tabs>
              <w:tab w:val="right" w:leader="dot" w:pos="9345"/>
            </w:tabs>
            <w:spacing w:line="360" w:lineRule="auto"/>
            <w:rPr>
              <w:sz w:val="28"/>
              <w:szCs w:val="28"/>
            </w:rPr>
          </w:pPr>
          <w:r w:rsidRPr="00071AE6">
            <w:rPr>
              <w:sz w:val="28"/>
              <w:szCs w:val="28"/>
            </w:rPr>
            <w:t>Введение</w:t>
          </w:r>
          <w:r w:rsidRPr="00071AE6">
            <w:rPr>
              <w:sz w:val="28"/>
              <w:szCs w:val="28"/>
            </w:rPr>
            <w:ptab w:relativeTo="margin" w:alignment="right" w:leader="dot"/>
          </w:r>
          <w:r w:rsidRPr="00071AE6">
            <w:rPr>
              <w:sz w:val="28"/>
              <w:szCs w:val="28"/>
            </w:rPr>
            <w:t>3</w:t>
          </w:r>
        </w:p>
        <w:p w14:paraId="2B69D1A2" w14:textId="77777777" w:rsidR="00071AE6" w:rsidRPr="00071AE6" w:rsidRDefault="00071AE6" w:rsidP="00071AE6">
          <w:pPr>
            <w:tabs>
              <w:tab w:val="right" w:leader="dot" w:pos="9345"/>
            </w:tabs>
            <w:spacing w:line="360" w:lineRule="auto"/>
            <w:rPr>
              <w:sz w:val="28"/>
              <w:szCs w:val="28"/>
            </w:rPr>
          </w:pPr>
          <w:r w:rsidRPr="00071AE6">
            <w:rPr>
              <w:sz w:val="28"/>
              <w:szCs w:val="28"/>
            </w:rPr>
            <w:t>1 Теоретические основы влияния торговой политики на внешнеэкономическую деятельность</w:t>
          </w:r>
          <w:r w:rsidRPr="00071AE6">
            <w:rPr>
              <w:sz w:val="28"/>
              <w:szCs w:val="28"/>
            </w:rPr>
            <w:ptab w:relativeTo="margin" w:alignment="right" w:leader="dot"/>
          </w:r>
          <w:r w:rsidRPr="00071AE6">
            <w:rPr>
              <w:sz w:val="28"/>
              <w:szCs w:val="28"/>
            </w:rPr>
            <w:t>7</w:t>
          </w:r>
        </w:p>
        <w:p w14:paraId="159BF258" w14:textId="77777777" w:rsidR="00071AE6" w:rsidRPr="00071AE6" w:rsidRDefault="00071AE6" w:rsidP="00071AE6">
          <w:pPr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 w:rsidRPr="00071AE6">
            <w:rPr>
              <w:rFonts w:eastAsiaTheme="minorHAnsi"/>
              <w:noProof/>
              <w:sz w:val="28"/>
              <w:szCs w:val="28"/>
              <w:lang w:eastAsia="en-US"/>
            </w:rPr>
            <w:t>1.1 Теории регулирования внешней торговли страны: соотношение протекционизма и свободы торговли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7</w:t>
          </w:r>
        </w:p>
        <w:p w14:paraId="1AACE02E" w14:textId="77777777" w:rsidR="00071AE6" w:rsidRPr="00071AE6" w:rsidRDefault="00071AE6" w:rsidP="00071AE6">
          <w:pPr>
            <w:spacing w:line="360" w:lineRule="auto"/>
            <w:rPr>
              <w:rFonts w:eastAsiaTheme="minorEastAsia"/>
              <w:sz w:val="28"/>
              <w:szCs w:val="28"/>
            </w:rPr>
          </w:pPr>
          <w:r w:rsidRPr="00071AE6">
            <w:rPr>
              <w:rFonts w:eastAsiaTheme="minorEastAsia"/>
              <w:sz w:val="28"/>
              <w:szCs w:val="28"/>
            </w:rPr>
            <w:t>1.2 Классификация методов и инструментов тарифного и нетарифного регулирования внешнеторговой деятельности</w:t>
          </w:r>
          <w:r w:rsidRPr="00071AE6">
            <w:rPr>
              <w:rFonts w:eastAsiaTheme="minorEastAsia"/>
              <w:sz w:val="28"/>
              <w:szCs w:val="28"/>
            </w:rPr>
            <w:ptab w:relativeTo="margin" w:alignment="right" w:leader="dot"/>
          </w:r>
          <w:r w:rsidRPr="00071AE6">
            <w:rPr>
              <w:rFonts w:eastAsiaTheme="minorEastAsia"/>
              <w:sz w:val="28"/>
              <w:szCs w:val="28"/>
            </w:rPr>
            <w:t>14</w:t>
          </w:r>
        </w:p>
        <w:p w14:paraId="7520FFC0" w14:textId="77777777" w:rsidR="00071AE6" w:rsidRPr="00071AE6" w:rsidRDefault="00071AE6" w:rsidP="00071AE6">
          <w:pPr>
            <w:spacing w:line="360" w:lineRule="auto"/>
            <w:rPr>
              <w:rFonts w:eastAsiaTheme="minorEastAsia"/>
              <w:sz w:val="28"/>
              <w:szCs w:val="28"/>
            </w:rPr>
          </w:pPr>
          <w:r w:rsidRPr="00071AE6">
            <w:rPr>
              <w:rFonts w:eastAsiaTheme="minorEastAsia"/>
              <w:sz w:val="28"/>
              <w:szCs w:val="28"/>
            </w:rPr>
            <w:t xml:space="preserve">1.3 Зарубежный опыт применения инструментов тарифного и нетарифного регулирования </w:t>
          </w:r>
          <w:r w:rsidRPr="00071AE6">
            <w:rPr>
              <w:rFonts w:eastAsiaTheme="minorEastAsia"/>
              <w:sz w:val="28"/>
              <w:szCs w:val="28"/>
            </w:rPr>
            <w:ptab w:relativeTo="margin" w:alignment="right" w:leader="dot"/>
          </w:r>
          <w:r w:rsidRPr="00071AE6">
            <w:rPr>
              <w:rFonts w:eastAsiaTheme="minorEastAsia"/>
              <w:sz w:val="28"/>
              <w:szCs w:val="28"/>
            </w:rPr>
            <w:t>22</w:t>
          </w:r>
        </w:p>
        <w:p w14:paraId="0E006E0D" w14:textId="77777777" w:rsidR="00071AE6" w:rsidRPr="00071AE6" w:rsidRDefault="00071AE6" w:rsidP="00071AE6">
          <w:pPr>
            <w:tabs>
              <w:tab w:val="right" w:leader="dot" w:pos="9345"/>
            </w:tabs>
            <w:spacing w:line="360" w:lineRule="auto"/>
            <w:rPr>
              <w:sz w:val="28"/>
              <w:szCs w:val="28"/>
            </w:rPr>
          </w:pPr>
          <w:r w:rsidRPr="00071AE6">
            <w:rPr>
              <w:sz w:val="28"/>
              <w:szCs w:val="28"/>
            </w:rPr>
            <w:t>2. Анализ применения тарифных и нетарифных мер регулирования во внешнеторговой деятельности</w:t>
          </w:r>
          <w:r w:rsidRPr="00071AE6">
            <w:rPr>
              <w:sz w:val="28"/>
              <w:szCs w:val="28"/>
            </w:rPr>
            <w:ptab w:relativeTo="margin" w:alignment="right" w:leader="dot"/>
          </w:r>
          <w:r w:rsidRPr="00071AE6">
            <w:rPr>
              <w:sz w:val="28"/>
              <w:szCs w:val="28"/>
            </w:rPr>
            <w:t>31</w:t>
          </w:r>
        </w:p>
        <w:p w14:paraId="418AA198" w14:textId="77777777" w:rsidR="00071AE6" w:rsidRPr="00071AE6" w:rsidRDefault="00071AE6" w:rsidP="00071AE6">
          <w:pPr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 w:rsidRPr="00071AE6">
            <w:rPr>
              <w:rFonts w:eastAsiaTheme="minorHAnsi"/>
              <w:sz w:val="28"/>
              <w:szCs w:val="28"/>
              <w:lang w:eastAsia="en-US"/>
            </w:rPr>
            <w:t>2.1 Анализ динамики и структуры внешней торговли РФ в условиях глобальных вызовов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31</w:t>
          </w:r>
        </w:p>
        <w:p w14:paraId="7E6618E2" w14:textId="77777777" w:rsidR="00071AE6" w:rsidRPr="00071AE6" w:rsidRDefault="00071AE6" w:rsidP="00071AE6">
          <w:pPr>
            <w:spacing w:line="360" w:lineRule="auto"/>
            <w:rPr>
              <w:rFonts w:eastAsiaTheme="minorEastAsia"/>
              <w:sz w:val="28"/>
              <w:szCs w:val="28"/>
            </w:rPr>
          </w:pPr>
          <w:r w:rsidRPr="00071AE6">
            <w:rPr>
              <w:rFonts w:eastAsiaTheme="minorEastAsia"/>
              <w:sz w:val="28"/>
              <w:szCs w:val="28"/>
            </w:rPr>
            <w:t>2.2 Эволюция экономико-правовых основ регулирования внешнеторговой деятельности в РФ и ЕАЭС</w:t>
          </w:r>
          <w:r w:rsidRPr="00071AE6">
            <w:rPr>
              <w:rFonts w:eastAsiaTheme="minorEastAsia"/>
              <w:sz w:val="28"/>
              <w:szCs w:val="28"/>
            </w:rPr>
            <w:ptab w:relativeTo="margin" w:alignment="right" w:leader="dot"/>
          </w:r>
          <w:r w:rsidRPr="00071AE6">
            <w:rPr>
              <w:rFonts w:eastAsiaTheme="minorEastAsia"/>
              <w:sz w:val="28"/>
              <w:szCs w:val="28"/>
            </w:rPr>
            <w:t>38</w:t>
          </w:r>
        </w:p>
        <w:p w14:paraId="2DD5A00C" w14:textId="77777777" w:rsidR="00071AE6" w:rsidRPr="00071AE6" w:rsidRDefault="00071AE6" w:rsidP="00071AE6">
          <w:pPr>
            <w:spacing w:line="360" w:lineRule="auto"/>
            <w:rPr>
              <w:rFonts w:eastAsiaTheme="minorEastAsia"/>
              <w:sz w:val="28"/>
              <w:szCs w:val="28"/>
            </w:rPr>
          </w:pPr>
          <w:r w:rsidRPr="00071AE6">
            <w:rPr>
              <w:rFonts w:eastAsiaTheme="minorEastAsia"/>
              <w:sz w:val="28"/>
              <w:szCs w:val="28"/>
            </w:rPr>
            <w:t>2.3 Проблемы таможенно-тарифного и нетарифного регулирования Российской Федерации и ЕАЭС</w:t>
          </w:r>
          <w:r w:rsidRPr="00071AE6">
            <w:rPr>
              <w:rFonts w:eastAsiaTheme="minorEastAsia"/>
              <w:sz w:val="28"/>
              <w:szCs w:val="28"/>
            </w:rPr>
            <w:ptab w:relativeTo="margin" w:alignment="right" w:leader="dot"/>
          </w:r>
          <w:r w:rsidRPr="00071AE6">
            <w:rPr>
              <w:rFonts w:eastAsiaTheme="minorEastAsia"/>
              <w:sz w:val="28"/>
              <w:szCs w:val="28"/>
            </w:rPr>
            <w:t>46</w:t>
          </w:r>
        </w:p>
        <w:p w14:paraId="7769AF44" w14:textId="77777777" w:rsidR="00071AE6" w:rsidRPr="00071AE6" w:rsidRDefault="00071AE6" w:rsidP="00071AE6">
          <w:pPr>
            <w:spacing w:line="360" w:lineRule="auto"/>
            <w:rPr>
              <w:rFonts w:eastAsiaTheme="minorHAnsi"/>
              <w:sz w:val="28"/>
              <w:szCs w:val="28"/>
            </w:rPr>
          </w:pPr>
          <w:r w:rsidRPr="00071AE6">
            <w:rPr>
              <w:rFonts w:eastAsiaTheme="minorHAnsi"/>
              <w:sz w:val="28"/>
              <w:szCs w:val="28"/>
            </w:rPr>
            <w:t>3. Экономическая оценка влияния тарифных и нетарифных мер регулирования на внешнеторговую деятельность РФ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53</w:t>
          </w:r>
        </w:p>
        <w:p w14:paraId="2C75CBC6" w14:textId="77777777" w:rsidR="00071AE6" w:rsidRPr="00071AE6" w:rsidRDefault="00071AE6" w:rsidP="00071AE6">
          <w:pPr>
            <w:spacing w:line="360" w:lineRule="auto"/>
            <w:rPr>
              <w:rFonts w:eastAsiaTheme="minorHAnsi"/>
              <w:webHidden/>
              <w:sz w:val="28"/>
              <w:szCs w:val="28"/>
            </w:rPr>
          </w:pPr>
          <w:r w:rsidRPr="00071AE6">
            <w:rPr>
              <w:rFonts w:eastAsiaTheme="minorHAnsi"/>
              <w:sz w:val="28"/>
              <w:szCs w:val="28"/>
            </w:rPr>
            <w:t>3.1 Оценка влияния тарифных и нетарифных инструментов на эффективность внешнеторговой деятельности (на примере ввоза в страну яблок и иска № 494 России к ЕС)</w:t>
          </w:r>
          <w:r w:rsidRPr="00071AE6">
            <w:rPr>
              <w:rFonts w:eastAsiaTheme="minorHAnsi"/>
              <w:webHidden/>
              <w:sz w:val="28"/>
              <w:szCs w:val="28"/>
            </w:rPr>
            <w:tab/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53</w:t>
          </w:r>
        </w:p>
        <w:p w14:paraId="3E173F60" w14:textId="77777777" w:rsidR="00071AE6" w:rsidRPr="00071AE6" w:rsidRDefault="00071AE6" w:rsidP="00071AE6">
          <w:pPr>
            <w:spacing w:line="360" w:lineRule="auto"/>
            <w:rPr>
              <w:rFonts w:eastAsiaTheme="minorHAnsi"/>
              <w:sz w:val="28"/>
              <w:szCs w:val="28"/>
            </w:rPr>
          </w:pPr>
          <w:r w:rsidRPr="00071AE6">
            <w:rPr>
              <w:rFonts w:eastAsiaTheme="minorHAnsi"/>
              <w:sz w:val="28"/>
              <w:szCs w:val="28"/>
            </w:rPr>
            <w:t>3.2 Пути повышения эффективности инструментов торговой политики Российской Федерации на основе зарубежного опыта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60</w:t>
          </w:r>
        </w:p>
        <w:p w14:paraId="1CE7148D" w14:textId="77777777" w:rsidR="00071AE6" w:rsidRPr="00071AE6" w:rsidRDefault="00071AE6" w:rsidP="00071AE6">
          <w:pPr>
            <w:spacing w:line="360" w:lineRule="auto"/>
            <w:rPr>
              <w:rFonts w:eastAsiaTheme="minorHAnsi"/>
              <w:sz w:val="28"/>
              <w:szCs w:val="28"/>
            </w:rPr>
          </w:pPr>
          <w:r w:rsidRPr="00071AE6">
            <w:rPr>
              <w:rFonts w:eastAsiaTheme="minorHAnsi"/>
              <w:sz w:val="28"/>
              <w:szCs w:val="28"/>
            </w:rPr>
            <w:t>Заключение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67</w:t>
          </w:r>
        </w:p>
        <w:p w14:paraId="680C346B" w14:textId="77777777" w:rsidR="00071AE6" w:rsidRPr="00071AE6" w:rsidRDefault="00071AE6" w:rsidP="00071AE6">
          <w:pPr>
            <w:spacing w:line="360" w:lineRule="auto"/>
            <w:rPr>
              <w:rFonts w:asciiTheme="minorHAnsi" w:eastAsiaTheme="minorHAnsi" w:hAnsiTheme="minorHAnsi" w:cstheme="minorBidi"/>
              <w:sz w:val="22"/>
              <w:szCs w:val="22"/>
            </w:rPr>
            <w:sectPr w:rsidR="00071AE6" w:rsidRPr="00071AE6" w:rsidSect="000022C1">
              <w:footerReference w:type="default" r:id="rId8"/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  <w:r w:rsidRPr="00071AE6">
            <w:rPr>
              <w:rFonts w:eastAsiaTheme="minorHAnsi"/>
              <w:sz w:val="28"/>
              <w:szCs w:val="28"/>
            </w:rPr>
            <w:t>Список использованных источников</w:t>
          </w:r>
          <w:r w:rsidRPr="00071AE6">
            <w:rPr>
              <w:rFonts w:eastAsiaTheme="minorHAnsi"/>
              <w:sz w:val="28"/>
              <w:szCs w:val="28"/>
              <w:lang w:eastAsia="en-US"/>
            </w:rPr>
            <w:ptab w:relativeTo="margin" w:alignment="right" w:leader="dot"/>
          </w:r>
          <w:r w:rsidRPr="00071AE6">
            <w:rPr>
              <w:rFonts w:eastAsiaTheme="minorHAnsi"/>
              <w:sz w:val="28"/>
              <w:szCs w:val="28"/>
              <w:lang w:eastAsia="en-US"/>
            </w:rPr>
            <w:t>69</w:t>
          </w:r>
        </w:p>
      </w:sdtContent>
    </w:sdt>
    <w:p w14:paraId="3743ECD9" w14:textId="77777777" w:rsidR="00071AE6" w:rsidRPr="00071AE6" w:rsidRDefault="00071AE6" w:rsidP="00071AE6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lastRenderedPageBreak/>
        <w:t>ВВЕДЕНИЕ</w:t>
      </w:r>
    </w:p>
    <w:p w14:paraId="43E223F6" w14:textId="77777777" w:rsidR="00071AE6" w:rsidRPr="00071AE6" w:rsidRDefault="00071AE6" w:rsidP="00071AE6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 xml:space="preserve"> </w:t>
      </w:r>
    </w:p>
    <w:p w14:paraId="558A7A1E" w14:textId="77777777" w:rsidR="00071AE6" w:rsidRPr="00071AE6" w:rsidRDefault="00071AE6" w:rsidP="00071AE6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C7BC45D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Современный этап развития международной торговли можно охарактеризовать расширением экономических связей между странами и глобализацией. Возникают всевозможные интеграционные объединения, перед которыми появляется задача по оптимизации процессов экономической интеграции между партнерами из разных государств.</w:t>
      </w:r>
    </w:p>
    <w:p w14:paraId="7328FA1A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 xml:space="preserve">Регулирование внешнеэкономической деятельности предусматривает глобальный спектр различных мер, которые влияют на импорт и экспорт товаров. Эти меры можно разделить на две независимые группы: тарифные и нетарифные инструменты. Нетарифные и тарифные инструменты регулирования ВЭД принимают разные формы, такие как: непосредственно влияющие на стоимость товара (тарифные инструменты регулирования), и ограничивающие стоимостные объемы или количество поступающего товара (нетарифные инструменты регулирования). </w:t>
      </w:r>
    </w:p>
    <w:p w14:paraId="060F9AE1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071AE6">
        <w:rPr>
          <w:rFonts w:eastAsiaTheme="minorHAnsi"/>
          <w:sz w:val="28"/>
          <w:szCs w:val="28"/>
          <w:lang w:eastAsia="en-US"/>
        </w:rPr>
        <w:t>Самый распространенный инструмент регулирования ВЭД - таможенный тариф, целью которого является пополнение финансовых запасов в бюджете страны (особенно для развивающихся стран), регулирование экспортных и импортных потоков (особенно характерно для развитых государств) или защита национальных рынков и производителей.</w:t>
      </w:r>
    </w:p>
    <w:p w14:paraId="1FB55EB7" w14:textId="77777777" w:rsidR="00071AE6" w:rsidRPr="00071AE6" w:rsidRDefault="00071AE6" w:rsidP="00071AE6">
      <w:pPr>
        <w:tabs>
          <w:tab w:val="left" w:pos="4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 xml:space="preserve">Актуальность данной работы можно объяснить тем, что основной задачей государства в области международной торговли является помощь экспортерам в вывозе максимально большого количества своей продукции, сделав при этом их товары более конкурентными на мировом рынке, и ограничение импорта, путем снижения конкурентоспособности иностранных товаров на внутреннем рынке. Поэтому некоторая часть инструментов торговой политики, такие как: антидемпинговые пошлины, квоты на импорт, таможенные тарифы и пошлины, лицензирование и сертификация и др., направлена на защиту внутреннего рынка от иностранных конкурентов и </w:t>
      </w:r>
      <w:r w:rsidRPr="00071AE6">
        <w:rPr>
          <w:rFonts w:eastAsiaTheme="minorHAnsi"/>
          <w:sz w:val="28"/>
          <w:szCs w:val="28"/>
          <w:lang w:eastAsia="en-US"/>
        </w:rPr>
        <w:lastRenderedPageBreak/>
        <w:t>некачественной продукции, и поэтому относится, прежде всего, к импорту. Другие инструменты регулирования торговой политики, такие как: субсидии, льготное кредитование и др., помогают формировать и стимулировать экспорт страны.</w:t>
      </w:r>
    </w:p>
    <w:p w14:paraId="0BFF5612" w14:textId="77777777" w:rsidR="00071AE6" w:rsidRPr="00071AE6" w:rsidRDefault="00071AE6" w:rsidP="00071AE6">
      <w:pPr>
        <w:tabs>
          <w:tab w:val="left" w:pos="48"/>
        </w:tabs>
        <w:spacing w:line="360" w:lineRule="auto"/>
        <w:ind w:firstLine="709"/>
        <w:jc w:val="both"/>
        <w:rPr>
          <w:sz w:val="28"/>
          <w:szCs w:val="28"/>
        </w:rPr>
      </w:pPr>
      <w:r w:rsidRPr="00071AE6">
        <w:rPr>
          <w:sz w:val="28"/>
          <w:szCs w:val="28"/>
        </w:rPr>
        <w:t xml:space="preserve">Несмотря на многочисленные исследования в литературе, отдельные аспекты влияния инструментов торговой политики на внешнюю торговлю остаются по-прежнему дискуссионными. Тема тарифного и нетарифного регулирования требует постоянного анализа и изучения. Вопросы определения понятий «тарифные меры», «нетарифные меры», «торговая политика», «протекционизм», «свободная торговля» их классификации, эволюция, а также воздействия на внешнеэкономическую деятельность и благосостояние различных стран рассматривались в работах </w:t>
      </w:r>
      <w:proofErr w:type="spellStart"/>
      <w:r w:rsidRPr="00071AE6">
        <w:rPr>
          <w:sz w:val="28"/>
          <w:szCs w:val="28"/>
        </w:rPr>
        <w:t>Турбана</w:t>
      </w:r>
      <w:proofErr w:type="spellEnd"/>
      <w:r w:rsidRPr="00071AE6">
        <w:rPr>
          <w:sz w:val="28"/>
          <w:szCs w:val="28"/>
        </w:rPr>
        <w:t xml:space="preserve"> Г.В,</w:t>
      </w:r>
      <w:r w:rsidRPr="00071A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71AE6">
        <w:rPr>
          <w:sz w:val="28"/>
          <w:szCs w:val="28"/>
        </w:rPr>
        <w:t xml:space="preserve">Ефимцевой Т.В, </w:t>
      </w:r>
      <w:proofErr w:type="spellStart"/>
      <w:r w:rsidRPr="00071AE6">
        <w:rPr>
          <w:sz w:val="28"/>
          <w:szCs w:val="28"/>
        </w:rPr>
        <w:t>Алитурлиева</w:t>
      </w:r>
      <w:proofErr w:type="spellEnd"/>
      <w:r w:rsidRPr="00071AE6">
        <w:rPr>
          <w:sz w:val="28"/>
          <w:szCs w:val="28"/>
        </w:rPr>
        <w:t xml:space="preserve"> А.С., Мамина А.Ш., </w:t>
      </w:r>
      <w:r w:rsidRPr="00071AE6">
        <w:rPr>
          <w:sz w:val="28"/>
          <w:szCs w:val="28"/>
        </w:rPr>
        <w:br/>
        <w:t xml:space="preserve">Удовенко С.П., Полякова А.Е., Остапенко Г.Ф, Пономаревой О.В.,  Мироновой Н.В., </w:t>
      </w:r>
      <w:proofErr w:type="spellStart"/>
      <w:r w:rsidRPr="00071AE6">
        <w:rPr>
          <w:sz w:val="28"/>
          <w:szCs w:val="28"/>
        </w:rPr>
        <w:t>Акембетовой</w:t>
      </w:r>
      <w:proofErr w:type="spellEnd"/>
      <w:r w:rsidRPr="00071AE6">
        <w:rPr>
          <w:sz w:val="28"/>
          <w:szCs w:val="28"/>
        </w:rPr>
        <w:t xml:space="preserve"> А.В. и др.</w:t>
      </w:r>
    </w:p>
    <w:p w14:paraId="5D959DDF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Основная проблема исследования заключается в том, что торговая политика не может быть полностью свободна от государственного регулирования и что экономический рост стран, в особенности развивающихся стран, зависит как от условий доступа на внешние рынки, так и от степени открытости внутренних рынков и защищенности отечественных производителей.</w:t>
      </w:r>
    </w:p>
    <w:p w14:paraId="4FD649BB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Для поддержания адекватной конкурентной среды на мировом рынке, формирования государственного бюджета, повышения уровня жизни населения и защиты внутреннего рынка от некачественной продукции, государствам необходимо использовать сбалансированные инструменты нетарифного и тарифного регулирования внешней торговли.</w:t>
      </w:r>
    </w:p>
    <w:p w14:paraId="6AD75CFA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Цель работы – рассмотреть влияние инструментов торговой политики на эффективность внешнеэкономических операций РФ и разработать практические рекомендации по улучшению влияния инструментов торговой политики на внешнеэкономическую деятельность.</w:t>
      </w:r>
    </w:p>
    <w:p w14:paraId="6316DF0D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lastRenderedPageBreak/>
        <w:t>Объектом исследования является внешнеэкономическая деятельность.</w:t>
      </w:r>
    </w:p>
    <w:p w14:paraId="7F77D5DA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Предмет исследования – инструменты торговой политики.</w:t>
      </w:r>
    </w:p>
    <w:p w14:paraId="33540E1F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Задачи:</w:t>
      </w:r>
    </w:p>
    <w:p w14:paraId="3AAE93E7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рассмотреть теории регулирование внешней торговли страны, провести соотношение протекционизма и свободы торговли, выявить актуальные тренды теорий регулирования ВЭД России;</w:t>
      </w:r>
    </w:p>
    <w:p w14:paraId="566CDA2F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провести классификацию методов и инструментов тарифного и нетарифного регулирования внешнеторговой деятельности;</w:t>
      </w:r>
    </w:p>
    <w:p w14:paraId="28FB320A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рассмотреть зарубежный опыт применения инструментов тарифного и нетарифного регулирования;</w:t>
      </w:r>
    </w:p>
    <w:p w14:paraId="47BB71DD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проанализировать динамику и структуру внешней торговли РФ в условиях глобальных вызовов;</w:t>
      </w:r>
    </w:p>
    <w:p w14:paraId="7D0C0904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проанализировать эволюцию экономико-правовых основ регулирования внешнеторговой деятельности в РФ и ЕАЭС;</w:t>
      </w:r>
    </w:p>
    <w:p w14:paraId="51C2E792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обозначить проблемы применения инструментов торговой политики и пути их решения;</w:t>
      </w:r>
    </w:p>
    <w:p w14:paraId="3D3AB577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провести оценку влияния тарифных и нетарифных мер регулирования на внешнеторговую деятельность РФ;</w:t>
      </w:r>
    </w:p>
    <w:p w14:paraId="10505F83" w14:textId="77777777" w:rsidR="00071AE6" w:rsidRPr="00071AE6" w:rsidRDefault="00071AE6" w:rsidP="00071AE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AE6">
        <w:rPr>
          <w:rFonts w:eastAsiaTheme="minorHAnsi"/>
          <w:sz w:val="28"/>
          <w:szCs w:val="28"/>
          <w:lang w:eastAsia="en-US"/>
        </w:rPr>
        <w:t>– рассмотреть теоретические основы влияния торговой политики на внешнеэкономическую деятельность.</w:t>
      </w:r>
    </w:p>
    <w:sectPr w:rsidR="00071AE6" w:rsidRPr="00071AE6" w:rsidSect="00BD5C18">
      <w:footerReference w:type="even" r:id="rId9"/>
      <w:footerReference w:type="default" r:id="rId10"/>
      <w:pgSz w:w="11906" w:h="16838"/>
      <w:pgMar w:top="1134" w:right="850" w:bottom="1134" w:left="1701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3294" w14:textId="77777777" w:rsidR="00DC0BA1" w:rsidRDefault="00DC0BA1" w:rsidP="00E3792E">
      <w:r>
        <w:separator/>
      </w:r>
    </w:p>
  </w:endnote>
  <w:endnote w:type="continuationSeparator" w:id="0">
    <w:p w14:paraId="4CE26F39" w14:textId="77777777" w:rsidR="00DC0BA1" w:rsidRDefault="00DC0BA1" w:rsidP="00E3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6183" w14:textId="77777777" w:rsidR="00071AE6" w:rsidRDefault="00071AE6">
    <w:pPr>
      <w:pStyle w:val="a3"/>
      <w:jc w:val="center"/>
    </w:pPr>
  </w:p>
  <w:p w14:paraId="7687BE92" w14:textId="77777777" w:rsidR="00071AE6" w:rsidRDefault="00071A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726342"/>
      <w:docPartObj>
        <w:docPartGallery w:val="Page Numbers (Bottom of Page)"/>
        <w:docPartUnique/>
      </w:docPartObj>
    </w:sdtPr>
    <w:sdtEndPr/>
    <w:sdtContent>
      <w:p w14:paraId="79B65F7F" w14:textId="77777777" w:rsidR="00621037" w:rsidRDefault="00E379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A8558" w14:textId="77777777" w:rsidR="00621037" w:rsidRDefault="00DC0B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086571"/>
      <w:docPartObj>
        <w:docPartGallery w:val="Page Numbers (Bottom of Page)"/>
        <w:docPartUnique/>
      </w:docPartObj>
    </w:sdtPr>
    <w:sdtEndPr>
      <w:rPr>
        <w:color w:val="000000" w:themeColor="text1"/>
        <w:sz w:val="28"/>
        <w:szCs w:val="28"/>
      </w:rPr>
    </w:sdtEndPr>
    <w:sdtContent>
      <w:p w14:paraId="77853704" w14:textId="2A28AF02" w:rsidR="0090613C" w:rsidRPr="0090613C" w:rsidRDefault="0090613C">
        <w:pPr>
          <w:pStyle w:val="a3"/>
          <w:jc w:val="center"/>
          <w:rPr>
            <w:color w:val="000000" w:themeColor="text1"/>
            <w:sz w:val="28"/>
            <w:szCs w:val="28"/>
          </w:rPr>
        </w:pPr>
        <w:r w:rsidRPr="0090613C">
          <w:rPr>
            <w:color w:val="000000" w:themeColor="text1"/>
            <w:sz w:val="28"/>
            <w:szCs w:val="28"/>
          </w:rPr>
          <w:fldChar w:fldCharType="begin"/>
        </w:r>
        <w:r w:rsidRPr="0090613C">
          <w:rPr>
            <w:color w:val="000000" w:themeColor="text1"/>
            <w:sz w:val="28"/>
            <w:szCs w:val="28"/>
          </w:rPr>
          <w:instrText>PAGE   \* MERGEFORMAT</w:instrText>
        </w:r>
        <w:r w:rsidRPr="0090613C">
          <w:rPr>
            <w:color w:val="000000" w:themeColor="text1"/>
            <w:sz w:val="28"/>
            <w:szCs w:val="28"/>
          </w:rPr>
          <w:fldChar w:fldCharType="separate"/>
        </w:r>
        <w:r w:rsidRPr="0090613C">
          <w:rPr>
            <w:color w:val="000000" w:themeColor="text1"/>
            <w:sz w:val="28"/>
            <w:szCs w:val="28"/>
          </w:rPr>
          <w:t>2</w:t>
        </w:r>
        <w:r w:rsidRPr="0090613C">
          <w:rPr>
            <w:color w:val="000000" w:themeColor="text1"/>
            <w:sz w:val="28"/>
            <w:szCs w:val="28"/>
          </w:rPr>
          <w:fldChar w:fldCharType="end"/>
        </w:r>
      </w:p>
    </w:sdtContent>
  </w:sdt>
  <w:p w14:paraId="65D5F7CC" w14:textId="77777777" w:rsidR="00E3792E" w:rsidRDefault="00E379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64A0" w14:textId="77777777" w:rsidR="00DC0BA1" w:rsidRDefault="00DC0BA1" w:rsidP="00E3792E">
      <w:r>
        <w:separator/>
      </w:r>
    </w:p>
  </w:footnote>
  <w:footnote w:type="continuationSeparator" w:id="0">
    <w:p w14:paraId="2F66DD3A" w14:textId="77777777" w:rsidR="00DC0BA1" w:rsidRDefault="00DC0BA1" w:rsidP="00E3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550"/>
    <w:multiLevelType w:val="hybridMultilevel"/>
    <w:tmpl w:val="920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D96"/>
    <w:multiLevelType w:val="hybridMultilevel"/>
    <w:tmpl w:val="6568C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53BE3"/>
    <w:multiLevelType w:val="hybridMultilevel"/>
    <w:tmpl w:val="36744FDC"/>
    <w:lvl w:ilvl="0" w:tplc="79F2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339C2"/>
    <w:multiLevelType w:val="hybridMultilevel"/>
    <w:tmpl w:val="234808F8"/>
    <w:lvl w:ilvl="0" w:tplc="041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0D7A230E"/>
    <w:multiLevelType w:val="hybridMultilevel"/>
    <w:tmpl w:val="FA6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0F1"/>
    <w:multiLevelType w:val="hybridMultilevel"/>
    <w:tmpl w:val="6568C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6860F8"/>
    <w:multiLevelType w:val="hybridMultilevel"/>
    <w:tmpl w:val="D0029D64"/>
    <w:lvl w:ilvl="0" w:tplc="31528DF6">
      <w:start w:val="1"/>
      <w:numFmt w:val="decimal"/>
      <w:lvlText w:val="%1."/>
      <w:lvlJc w:val="left"/>
      <w:pPr>
        <w:ind w:left="110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26AEF"/>
    <w:multiLevelType w:val="hybridMultilevel"/>
    <w:tmpl w:val="4636090C"/>
    <w:lvl w:ilvl="0" w:tplc="79F2D1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5396D"/>
    <w:multiLevelType w:val="hybridMultilevel"/>
    <w:tmpl w:val="920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6377"/>
    <w:multiLevelType w:val="hybridMultilevel"/>
    <w:tmpl w:val="F4F0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9301E"/>
    <w:multiLevelType w:val="hybridMultilevel"/>
    <w:tmpl w:val="4F8650CA"/>
    <w:lvl w:ilvl="0" w:tplc="A76A0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4467DF"/>
    <w:multiLevelType w:val="hybridMultilevel"/>
    <w:tmpl w:val="28CED7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0EA4D0C"/>
    <w:multiLevelType w:val="hybridMultilevel"/>
    <w:tmpl w:val="14E863C2"/>
    <w:lvl w:ilvl="0" w:tplc="5FACE7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FA0FE2"/>
    <w:multiLevelType w:val="hybridMultilevel"/>
    <w:tmpl w:val="18663F6C"/>
    <w:lvl w:ilvl="0" w:tplc="93FE2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C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85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6D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E8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04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E9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0A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B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B65CC"/>
    <w:multiLevelType w:val="hybridMultilevel"/>
    <w:tmpl w:val="A4165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37362"/>
    <w:multiLevelType w:val="hybridMultilevel"/>
    <w:tmpl w:val="920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68E2"/>
    <w:multiLevelType w:val="hybridMultilevel"/>
    <w:tmpl w:val="AD0A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548D"/>
    <w:multiLevelType w:val="hybridMultilevel"/>
    <w:tmpl w:val="FDD43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30128D"/>
    <w:multiLevelType w:val="hybridMultilevel"/>
    <w:tmpl w:val="1B5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F30B9"/>
    <w:multiLevelType w:val="hybridMultilevel"/>
    <w:tmpl w:val="D4462090"/>
    <w:lvl w:ilvl="0" w:tplc="79F2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5953"/>
    <w:multiLevelType w:val="hybridMultilevel"/>
    <w:tmpl w:val="B0A08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56A8"/>
    <w:multiLevelType w:val="hybridMultilevel"/>
    <w:tmpl w:val="40322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CD2201"/>
    <w:multiLevelType w:val="hybridMultilevel"/>
    <w:tmpl w:val="4B58F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B45123"/>
    <w:multiLevelType w:val="hybridMultilevel"/>
    <w:tmpl w:val="1562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0F86"/>
    <w:multiLevelType w:val="hybridMultilevel"/>
    <w:tmpl w:val="5CB4C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F85492"/>
    <w:multiLevelType w:val="hybridMultilevel"/>
    <w:tmpl w:val="920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B071B"/>
    <w:multiLevelType w:val="multilevel"/>
    <w:tmpl w:val="AD1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D23FD"/>
    <w:multiLevelType w:val="multilevel"/>
    <w:tmpl w:val="2DD25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A58342C"/>
    <w:multiLevelType w:val="hybridMultilevel"/>
    <w:tmpl w:val="D622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8685E"/>
    <w:multiLevelType w:val="multilevel"/>
    <w:tmpl w:val="351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849F1"/>
    <w:multiLevelType w:val="hybridMultilevel"/>
    <w:tmpl w:val="DB0AB3D8"/>
    <w:lvl w:ilvl="0" w:tplc="B8540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F2505F"/>
    <w:multiLevelType w:val="hybridMultilevel"/>
    <w:tmpl w:val="920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12A4B"/>
    <w:multiLevelType w:val="hybridMultilevel"/>
    <w:tmpl w:val="2D846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B43"/>
    <w:multiLevelType w:val="hybridMultilevel"/>
    <w:tmpl w:val="B93A8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74BDF"/>
    <w:multiLevelType w:val="multilevel"/>
    <w:tmpl w:val="D488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27715F"/>
    <w:multiLevelType w:val="hybridMultilevel"/>
    <w:tmpl w:val="22E8AAE4"/>
    <w:lvl w:ilvl="0" w:tplc="6840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4F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C1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A4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F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0D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EE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21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50557"/>
    <w:multiLevelType w:val="hybridMultilevel"/>
    <w:tmpl w:val="D52A51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742E7"/>
    <w:multiLevelType w:val="hybridMultilevel"/>
    <w:tmpl w:val="C610E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B92618"/>
    <w:multiLevelType w:val="hybridMultilevel"/>
    <w:tmpl w:val="6568C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BD1481"/>
    <w:multiLevelType w:val="hybridMultilevel"/>
    <w:tmpl w:val="6568C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27130D"/>
    <w:multiLevelType w:val="hybridMultilevel"/>
    <w:tmpl w:val="0118383C"/>
    <w:lvl w:ilvl="0" w:tplc="E6B2E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A6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4D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80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AA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2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5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2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6"/>
  </w:num>
  <w:num w:numId="9">
    <w:abstractNumId w:val="38"/>
  </w:num>
  <w:num w:numId="10">
    <w:abstractNumId w:val="21"/>
  </w:num>
  <w:num w:numId="11">
    <w:abstractNumId w:val="28"/>
  </w:num>
  <w:num w:numId="12">
    <w:abstractNumId w:val="8"/>
  </w:num>
  <w:num w:numId="13">
    <w:abstractNumId w:val="36"/>
  </w:num>
  <w:num w:numId="14">
    <w:abstractNumId w:val="39"/>
  </w:num>
  <w:num w:numId="15">
    <w:abstractNumId w:val="34"/>
  </w:num>
  <w:num w:numId="16">
    <w:abstractNumId w:val="25"/>
  </w:num>
  <w:num w:numId="17">
    <w:abstractNumId w:val="26"/>
  </w:num>
  <w:num w:numId="18">
    <w:abstractNumId w:val="9"/>
  </w:num>
  <w:num w:numId="19">
    <w:abstractNumId w:val="27"/>
  </w:num>
  <w:num w:numId="20">
    <w:abstractNumId w:val="23"/>
  </w:num>
  <w:num w:numId="21">
    <w:abstractNumId w:val="40"/>
  </w:num>
  <w:num w:numId="22">
    <w:abstractNumId w:val="4"/>
  </w:num>
  <w:num w:numId="23">
    <w:abstractNumId w:val="22"/>
  </w:num>
  <w:num w:numId="24">
    <w:abstractNumId w:val="12"/>
  </w:num>
  <w:num w:numId="25">
    <w:abstractNumId w:val="33"/>
  </w:num>
  <w:num w:numId="26">
    <w:abstractNumId w:val="30"/>
  </w:num>
  <w:num w:numId="27">
    <w:abstractNumId w:val="24"/>
  </w:num>
  <w:num w:numId="28">
    <w:abstractNumId w:val="13"/>
  </w:num>
  <w:num w:numId="29">
    <w:abstractNumId w:val="35"/>
  </w:num>
  <w:num w:numId="30">
    <w:abstractNumId w:val="0"/>
  </w:num>
  <w:num w:numId="31">
    <w:abstractNumId w:val="5"/>
  </w:num>
  <w:num w:numId="32">
    <w:abstractNumId w:val="20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5"/>
  </w:num>
  <w:num w:numId="36">
    <w:abstractNumId w:val="32"/>
  </w:num>
  <w:num w:numId="37">
    <w:abstractNumId w:val="10"/>
  </w:num>
  <w:num w:numId="38">
    <w:abstractNumId w:val="37"/>
  </w:num>
  <w:num w:numId="39">
    <w:abstractNumId w:val="2"/>
  </w:num>
  <w:num w:numId="40">
    <w:abstractNumId w:val="7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2E"/>
    <w:rsid w:val="00071AE6"/>
    <w:rsid w:val="00165CE8"/>
    <w:rsid w:val="0017235C"/>
    <w:rsid w:val="002332B8"/>
    <w:rsid w:val="0023719B"/>
    <w:rsid w:val="003550EC"/>
    <w:rsid w:val="005D1478"/>
    <w:rsid w:val="006654A2"/>
    <w:rsid w:val="007D5924"/>
    <w:rsid w:val="007D73A2"/>
    <w:rsid w:val="0090613C"/>
    <w:rsid w:val="0097672F"/>
    <w:rsid w:val="009A3271"/>
    <w:rsid w:val="00A45C24"/>
    <w:rsid w:val="00AD6967"/>
    <w:rsid w:val="00BB2F73"/>
    <w:rsid w:val="00BD5C18"/>
    <w:rsid w:val="00C8441A"/>
    <w:rsid w:val="00CD117D"/>
    <w:rsid w:val="00D1176F"/>
    <w:rsid w:val="00D27AD2"/>
    <w:rsid w:val="00DC0BA1"/>
    <w:rsid w:val="00E3792E"/>
    <w:rsid w:val="00E7568D"/>
    <w:rsid w:val="00F35DD2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5BB41"/>
  <w15:chartTrackingRefBased/>
  <w15:docId w15:val="{FBB82EA9-0443-4771-82A8-255318E2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AE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1A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1A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uiPriority w:val="99"/>
    <w:unhideWhenUsed/>
    <w:rsid w:val="00E379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rsid w:val="00E3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3"/>
    <w:uiPriority w:val="99"/>
    <w:rsid w:val="00E3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7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1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1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71AE6"/>
  </w:style>
  <w:style w:type="paragraph" w:styleId="a7">
    <w:name w:val="List Paragraph"/>
    <w:basedOn w:val="a"/>
    <w:uiPriority w:val="34"/>
    <w:qFormat/>
    <w:rsid w:val="00071A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071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71A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71AE6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qFormat/>
    <w:rsid w:val="00071AE6"/>
    <w:pPr>
      <w:spacing w:before="100" w:beforeAutospacing="1" w:after="100" w:afterAutospacing="1"/>
    </w:pPr>
  </w:style>
  <w:style w:type="paragraph" w:styleId="ac">
    <w:name w:val="TOC Heading"/>
    <w:basedOn w:val="1"/>
    <w:next w:val="a"/>
    <w:uiPriority w:val="39"/>
    <w:unhideWhenUsed/>
    <w:qFormat/>
    <w:rsid w:val="00071A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71AE6"/>
    <w:pPr>
      <w:tabs>
        <w:tab w:val="right" w:leader="dot" w:pos="9345"/>
      </w:tabs>
      <w:spacing w:after="100" w:line="360" w:lineRule="auto"/>
      <w:ind w:firstLine="709"/>
      <w:jc w:val="both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71AE6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4">
    <w:name w:val="Сетка таблицы1"/>
    <w:basedOn w:val="a1"/>
    <w:next w:val="a8"/>
    <w:uiPriority w:val="59"/>
    <w:rsid w:val="00071AE6"/>
    <w:pPr>
      <w:spacing w:after="0" w:line="240" w:lineRule="auto"/>
    </w:pPr>
    <w:rPr>
      <w:rFonts w:eastAsia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071AE6"/>
    <w:pPr>
      <w:spacing w:after="0" w:line="240" w:lineRule="auto"/>
    </w:pPr>
    <w:rPr>
      <w:rFonts w:eastAsia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071A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Сетка таблицы3"/>
    <w:basedOn w:val="a1"/>
    <w:next w:val="a8"/>
    <w:uiPriority w:val="59"/>
    <w:rsid w:val="00071AE6"/>
    <w:pPr>
      <w:spacing w:after="0" w:line="240" w:lineRule="auto"/>
    </w:pPr>
    <w:rPr>
      <w:rFonts w:eastAsia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71AE6"/>
    <w:pPr>
      <w:spacing w:after="0" w:line="240" w:lineRule="auto"/>
    </w:pPr>
    <w:rPr>
      <w:rFonts w:eastAsia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71AE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71A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71AE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71AE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A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71AE6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071A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1AE6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1AE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1A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071AE6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71AE6"/>
    <w:rPr>
      <w:vertAlign w:val="superscript"/>
    </w:rPr>
  </w:style>
  <w:style w:type="paragraph" w:styleId="32">
    <w:name w:val="toc 3"/>
    <w:basedOn w:val="a"/>
    <w:next w:val="a"/>
    <w:autoRedefine/>
    <w:uiPriority w:val="39"/>
    <w:unhideWhenUsed/>
    <w:rsid w:val="00071AE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6CED-D1C5-4D7F-B15A-7D7458BC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Мингулова Алина Амировна</dc:creator>
  <cp:keywords/>
  <dc:description/>
  <cp:lastModifiedBy>Ivan V.</cp:lastModifiedBy>
  <cp:revision>14</cp:revision>
  <dcterms:created xsi:type="dcterms:W3CDTF">2022-06-11T17:30:00Z</dcterms:created>
  <dcterms:modified xsi:type="dcterms:W3CDTF">2025-01-29T07:26:00Z</dcterms:modified>
</cp:coreProperties>
</file>