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6228356" w:displacedByCustomXml="next"/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99818724"/>
        <w:docPartObj>
          <w:docPartGallery w:val="Table of Contents"/>
          <w:docPartUnique/>
        </w:docPartObj>
      </w:sdtPr>
      <w:sdtEndPr/>
      <w:sdtContent>
        <w:p w14:paraId="2C81B6CD" w14:textId="57E205AD" w:rsidR="00D316CF" w:rsidRPr="00EB4D46" w:rsidRDefault="00D0756E" w:rsidP="00D316CF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EB4D4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207E681E" w14:textId="5D02361F" w:rsidR="004D61CA" w:rsidRPr="00AA6B73" w:rsidRDefault="00D316C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D0756E">
            <w:rPr>
              <w:rFonts w:ascii="Times New Roman" w:hAnsi="Times New Roman" w:cs="Times New Roman"/>
              <w:sz w:val="36"/>
              <w:szCs w:val="28"/>
            </w:rPr>
            <w:fldChar w:fldCharType="begin"/>
          </w:r>
          <w:r w:rsidRPr="00D0756E">
            <w:rPr>
              <w:rFonts w:ascii="Times New Roman" w:hAnsi="Times New Roman" w:cs="Times New Roman"/>
              <w:sz w:val="36"/>
              <w:szCs w:val="28"/>
            </w:rPr>
            <w:instrText xml:space="preserve"> TOC \o "1-3" \h \z \u </w:instrText>
          </w:r>
          <w:r w:rsidRPr="00D0756E">
            <w:rPr>
              <w:rFonts w:ascii="Times New Roman" w:hAnsi="Times New Roman" w:cs="Times New Roman"/>
              <w:sz w:val="36"/>
              <w:szCs w:val="28"/>
            </w:rPr>
            <w:fldChar w:fldCharType="separate"/>
          </w:r>
          <w:hyperlink w:anchor="_Toc127348706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_Toc127348706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6D0371" w14:textId="1BC00C16" w:rsidR="004D61CA" w:rsidRPr="00AA6B73" w:rsidRDefault="001C76CD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07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основы изучения проблемы текучести кадров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_Toc127348707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29D6E5" w14:textId="14AE98AB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08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овременные подходы к изучению текучести кадров в организации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_Toc127348708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260F04" w14:textId="4837FCBB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09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лассификация факторов, вызывающих текучесть кадров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_Toc127348709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B0829" w14:textId="6D3F7FE0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0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етоды управления текучестью кадров в организации и показатели оценки эффективности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_Toc127348710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4E289" w14:textId="2EACA275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1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рганизационно-экономическая характеристика ао тандер «магнит-космет</w:t>
            </w:r>
            <w:r w:rsidR="004D61CA" w:rsidRPr="00AA6B73">
              <w:rPr>
                <w:rStyle w:val="afa"/>
                <w:rFonts w:ascii="Times New Roman" w:hAnsi="Times New Roman" w:cs="Times New Roman"/>
                <w:caps/>
                <w:noProof/>
                <w:spacing w:val="-28"/>
                <w:w w:val="66"/>
                <w:sz w:val="28"/>
                <w:szCs w:val="28"/>
              </w:rPr>
              <w:t xml:space="preserve"> .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ик»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_Toc127348711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439336" w14:textId="0B9B4BE5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2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2.2.Анализ основных показателей деятельности организации в 2019-2021 г. Г.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_Toc127348712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73589B" w14:textId="35670A78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3" w:history="1">
            <w:r w:rsidR="004D61CA" w:rsidRPr="00AA6B73">
              <w:rPr>
                <w:rStyle w:val="afa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2.3 </w:t>
            </w:r>
            <w:r w:rsidR="00AA6B73">
              <w:rPr>
                <w:rStyle w:val="afa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4D61CA" w:rsidRPr="00AA6B73">
              <w:rPr>
                <w:rStyle w:val="afa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нализ использования трудовых ресурсов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_Toc127348713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B11EB" w14:textId="7CA56C9C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4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2.4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овершенствование стратегии управления трудовыми ресурсами в ао «магнит»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_Toc127348714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8B3585" w14:textId="6DE48A55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5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2.5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нализ организации труда работников в организации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_Toc127348715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90FE4B" w14:textId="7A0B630F" w:rsidR="004D61CA" w:rsidRPr="00AA6B73" w:rsidRDefault="001C76CD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6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 Разработка рекомендаций по снижению текучести кадров в ао тандер «магнит-косметик»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_Toc127348716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7847F4" w14:textId="3BD01123" w:rsidR="004D61CA" w:rsidRPr="00AA6B73" w:rsidRDefault="001C76CD" w:rsidP="004D61CA">
          <w:pPr>
            <w:pStyle w:val="25"/>
            <w:tabs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7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екомендации по снижению текучести кадров в ао тандер «магнит-косметик»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_Toc127348717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D4B22" w14:textId="01758AFF" w:rsidR="004D61CA" w:rsidRPr="00AA6B73" w:rsidRDefault="001C76CD" w:rsidP="004D61CA">
          <w:pPr>
            <w:pStyle w:val="25"/>
            <w:tabs>
              <w:tab w:val="left" w:pos="880"/>
              <w:tab w:val="right" w:leader="dot" w:pos="9344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8" w:history="1">
            <w:r w:rsidR="004D61CA" w:rsidRPr="00AA6B73">
              <w:rPr>
                <w:rStyle w:val="afa"/>
                <w:rFonts w:ascii="Times New Roman" w:hAnsi="Times New Roman" w:cs="Times New Roman"/>
                <w:caps/>
                <w:noProof/>
                <w:sz w:val="28"/>
                <w:szCs w:val="28"/>
              </w:rPr>
              <w:t>3.2</w:t>
            </w:r>
            <w:r w:rsidR="00AA6B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боснование социально-экономической эффективности рекомендуемых мероприятий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_Toc127348718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83BFC" w14:textId="272A109F" w:rsidR="004D61CA" w:rsidRPr="00AA6B73" w:rsidRDefault="001C76CD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19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_Toc127348719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51E3DA" w14:textId="22B9DFA2" w:rsidR="004D61CA" w:rsidRPr="00AA6B73" w:rsidRDefault="001C76CD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7348720" w:history="1">
            <w:r w:rsidR="004D61CA" w:rsidRPr="00AA6B73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_Toc127348720 \h </w:instrTex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4D61CA" w:rsidRPr="00AA6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D41B31" w14:textId="489EE99A" w:rsidR="00D316CF" w:rsidRPr="00D0756E" w:rsidRDefault="00D316CF" w:rsidP="00D316CF">
          <w:pPr>
            <w:rPr>
              <w:rFonts w:ascii="Times New Roman" w:hAnsi="Times New Roman" w:cs="Times New Roman"/>
              <w:sz w:val="28"/>
              <w:szCs w:val="28"/>
            </w:rPr>
          </w:pPr>
          <w:r w:rsidRPr="00D0756E">
            <w:rPr>
              <w:rFonts w:ascii="Times New Roman" w:hAnsi="Times New Roman" w:cs="Times New Roman"/>
              <w:sz w:val="36"/>
              <w:szCs w:val="28"/>
            </w:rPr>
            <w:fldChar w:fldCharType="end"/>
          </w:r>
        </w:p>
      </w:sdtContent>
    </w:sdt>
    <w:p w14:paraId="7824000A" w14:textId="1AD29BD6" w:rsidR="00D316CF" w:rsidRPr="00D0756E" w:rsidRDefault="00D316CF" w:rsidP="00D316CF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D0756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 w:type="page"/>
      </w:r>
    </w:p>
    <w:p w14:paraId="7ABAD2A9" w14:textId="217C56B8" w:rsidR="00D316CF" w:rsidRPr="00D0756E" w:rsidRDefault="00D316CF" w:rsidP="001405E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27348706"/>
      <w:r w:rsidRPr="00D0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14:paraId="3A179B66" w14:textId="77777777" w:rsidR="00C2672A" w:rsidRPr="00D0756E" w:rsidRDefault="00C2672A" w:rsidP="001405E6">
      <w:pPr>
        <w:spacing w:after="0" w:line="240" w:lineRule="auto"/>
      </w:pPr>
    </w:p>
    <w:p w14:paraId="7832F53F" w14:textId="77777777" w:rsidR="00C2672A" w:rsidRPr="00D0756E" w:rsidRDefault="00C2672A" w:rsidP="001405E6">
      <w:pPr>
        <w:spacing w:after="0" w:line="240" w:lineRule="auto"/>
      </w:pPr>
    </w:p>
    <w:p w14:paraId="6C309CEC" w14:textId="77777777" w:rsidR="00D316CF" w:rsidRPr="00D0756E" w:rsidRDefault="00D316CF" w:rsidP="0014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6E">
        <w:rPr>
          <w:rFonts w:ascii="Times New Roman" w:hAnsi="Times New Roman" w:cs="Times New Roman"/>
          <w:sz w:val="28"/>
          <w:szCs w:val="28"/>
        </w:rPr>
        <w:t>Актуальность предпочтенной темы. Сегодня мало кто будет спорить с тем, что штат – один из главных ресурсов организации. Большинство руководителей уже убедились в важности профессиональной политики. Ведь только правильно подобранный рабочий коллектив, сплоченная команда готовы продуктивно осуществлять цели и задачи компании.</w:t>
      </w:r>
    </w:p>
    <w:p w14:paraId="2000E992" w14:textId="77777777" w:rsidR="00D316CF" w:rsidRPr="00D0756E" w:rsidRDefault="00D316CF" w:rsidP="0014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6E">
        <w:rPr>
          <w:rFonts w:ascii="Times New Roman" w:hAnsi="Times New Roman" w:cs="Times New Roman"/>
          <w:sz w:val="28"/>
          <w:szCs w:val="28"/>
        </w:rPr>
        <w:t>Обеспечение</w:t>
      </w:r>
      <w:r w:rsidR="00146802" w:rsidRPr="00D0756E"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 xml:space="preserve"> </w:t>
      </w:r>
      <w:r w:rsidRPr="00D0756E">
        <w:rPr>
          <w:rFonts w:ascii="Times New Roman" w:hAnsi="Times New Roman" w:cs="Times New Roman"/>
          <w:sz w:val="28"/>
          <w:szCs w:val="28"/>
        </w:rPr>
        <w:t>стабильности профессионального состава на сегодняшний момент является одной из самых сложных проблем управления персоналом. Именно данный показатель в условиях финансового кризиса снижает отрицательные эффекты, работающие на организацию. Как правило, неустойчивость формирования экономики в первую очередь проявляется как рост показателя текучести кадров в организации. Разумеется, текучесть кадров определена обилием факторов, например, особенностью бизнеса, географическим фактором, стадией формирования организации, а также структурным составом самих сотрудников. Поэтому для каждой компании важно установить свой уникальный уровень текучести кадров.</w:t>
      </w:r>
    </w:p>
    <w:p w14:paraId="5E0D45CD" w14:textId="77777777" w:rsidR="00D316CF" w:rsidRPr="00D0756E" w:rsidRDefault="00D316CF" w:rsidP="0014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6E">
        <w:rPr>
          <w:rFonts w:ascii="Times New Roman" w:hAnsi="Times New Roman" w:cs="Times New Roman"/>
          <w:sz w:val="28"/>
          <w:szCs w:val="28"/>
        </w:rPr>
        <w:t>Рассматривая российский рынок, можно отметить, что подходящим считается показатель, равный 10%. На момент формирования бизнеса, особенно на стадии массового подбора и найма персонала, данный показатель порядком выше – 20%. В некоторых сферах нормы может являться и 30, и 40%. В крупных городах текучесть выше – от 10 до 20%, в то время как в маленьких городах коэффициент текучести кадров, как правило, не превышает 5%. Это обусловлено ограниченным числом рабочих мест.</w:t>
      </w:r>
    </w:p>
    <w:p w14:paraId="3E3BB96A" w14:textId="77777777" w:rsidR="00D316CF" w:rsidRPr="00D0756E" w:rsidRDefault="00D316CF" w:rsidP="0014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6E">
        <w:rPr>
          <w:rFonts w:ascii="Times New Roman" w:hAnsi="Times New Roman" w:cs="Times New Roman"/>
          <w:sz w:val="28"/>
          <w:szCs w:val="28"/>
        </w:rPr>
        <w:t>Процент нормы отличается также и для разных категорий персонала. Нормой текучести для управленческого персонала считается 4-5%. Линейный менеджмент и специалисты располагается в пределах 10-30%. Неквалифицированный рабочий персонал – до 8</w:t>
      </w:r>
      <w:r w:rsidR="00146802" w:rsidRPr="00D0756E"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 w:rsidRPr="00D0756E">
        <w:rPr>
          <w:rFonts w:ascii="Times New Roman" w:hAnsi="Times New Roman" w:cs="Times New Roman"/>
          <w:sz w:val="28"/>
          <w:szCs w:val="28"/>
        </w:rPr>
        <w:t xml:space="preserve">0 процентов. </w:t>
      </w:r>
      <w:proofErr w:type="gramStart"/>
      <w:r w:rsidRPr="00D0756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0756E">
        <w:rPr>
          <w:rFonts w:ascii="Times New Roman" w:hAnsi="Times New Roman" w:cs="Times New Roman"/>
          <w:sz w:val="28"/>
          <w:szCs w:val="28"/>
        </w:rPr>
        <w:t xml:space="preserve"> это все статистические стандарты. Как показывает практика, норма текучести кадров 4 больше зависит от реализуемой организацией профессиональной стратегии. </w:t>
      </w:r>
      <w:r w:rsidRPr="00D0756E">
        <w:rPr>
          <w:rFonts w:ascii="Times New Roman" w:hAnsi="Times New Roman" w:cs="Times New Roman"/>
          <w:sz w:val="28"/>
          <w:szCs w:val="28"/>
        </w:rPr>
        <w:lastRenderedPageBreak/>
        <w:t xml:space="preserve">Здесь следует отметить, что основной причиной увольнения работника выступает возмущение работников своим положением. Именно поэтому, для многих организаций текучесть кадров является одной из самых ключевых проблем. </w:t>
      </w:r>
    </w:p>
    <w:p w14:paraId="1444FF96" w14:textId="77777777" w:rsidR="00D316CF" w:rsidRPr="00D0756E" w:rsidRDefault="00D316CF" w:rsidP="0014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6E">
        <w:rPr>
          <w:rFonts w:ascii="Times New Roman" w:hAnsi="Times New Roman" w:cs="Times New Roman"/>
          <w:sz w:val="28"/>
          <w:szCs w:val="28"/>
        </w:rPr>
        <w:t>Умение управлять текучестью кадров является крайне необходимым. Необходимо уметь выявлять ее причины, вести статистику и вовремя реагировать на негативные изменения. Ведь если в компании уровень текучести очень высок, появляется потребность искать новых сотрудников, расходовать ресурсы на адаптацию и обучение новичков. Высокая текучесть кадров отрицательно влияет на репутацию организации и не позволяет создать положительный климат в коллективе. Неслучайно, что текучесть кадров – один из самых основных показателей, которые характеризуют результативность системы управления персоналом в организации. Несмотря на то, что данная проблема является практически повсеместной, в науке на данный момент нет единой целостной концепции управление этим процессом. Именно поэтому проблема поиска путей оценки и методов сокращения текучести кадров представляется актуальной.</w:t>
      </w:r>
    </w:p>
    <w:sectPr w:rsidR="00D316CF" w:rsidRPr="00D0756E" w:rsidSect="00FE512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6258" w14:textId="77777777" w:rsidR="001C76CD" w:rsidRDefault="001C76CD" w:rsidP="00FE5126">
      <w:pPr>
        <w:spacing w:after="0" w:line="240" w:lineRule="auto"/>
      </w:pPr>
      <w:r>
        <w:separator/>
      </w:r>
    </w:p>
  </w:endnote>
  <w:endnote w:type="continuationSeparator" w:id="0">
    <w:p w14:paraId="536AB5E4" w14:textId="77777777" w:rsidR="001C76CD" w:rsidRDefault="001C76CD" w:rsidP="00FE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687897"/>
      <w:docPartObj>
        <w:docPartGallery w:val="Page Numbers (Bottom of Page)"/>
        <w:docPartUnique/>
      </w:docPartObj>
    </w:sdtPr>
    <w:sdtEndPr/>
    <w:sdtContent>
      <w:p w14:paraId="24453424" w14:textId="1DC342C9" w:rsidR="006D3155" w:rsidRDefault="006D31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66">
          <w:rPr>
            <w:noProof/>
          </w:rPr>
          <w:t>50</w:t>
        </w:r>
        <w:r>
          <w:fldChar w:fldCharType="end"/>
        </w:r>
      </w:p>
    </w:sdtContent>
  </w:sdt>
  <w:p w14:paraId="0DEE21B9" w14:textId="77777777" w:rsidR="006D3155" w:rsidRDefault="006D31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3FD" w14:textId="77777777" w:rsidR="001C76CD" w:rsidRDefault="001C76CD" w:rsidP="00FE5126">
      <w:pPr>
        <w:spacing w:after="0" w:line="240" w:lineRule="auto"/>
      </w:pPr>
      <w:r>
        <w:separator/>
      </w:r>
    </w:p>
  </w:footnote>
  <w:footnote w:type="continuationSeparator" w:id="0">
    <w:p w14:paraId="4C23F436" w14:textId="77777777" w:rsidR="001C76CD" w:rsidRDefault="001C76CD" w:rsidP="00FE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0BD"/>
    <w:multiLevelType w:val="multilevel"/>
    <w:tmpl w:val="1000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E7FD9"/>
    <w:multiLevelType w:val="multilevel"/>
    <w:tmpl w:val="F72E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A7965"/>
    <w:multiLevelType w:val="multilevel"/>
    <w:tmpl w:val="EED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06A10"/>
    <w:multiLevelType w:val="hybridMultilevel"/>
    <w:tmpl w:val="91784ED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FE6025E"/>
    <w:multiLevelType w:val="multilevel"/>
    <w:tmpl w:val="F762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F055E"/>
    <w:multiLevelType w:val="multilevel"/>
    <w:tmpl w:val="1008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310EE"/>
    <w:multiLevelType w:val="multilevel"/>
    <w:tmpl w:val="46D6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66AF0"/>
    <w:multiLevelType w:val="multilevel"/>
    <w:tmpl w:val="A8C2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A759C"/>
    <w:multiLevelType w:val="multilevel"/>
    <w:tmpl w:val="562E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D78F8"/>
    <w:multiLevelType w:val="multilevel"/>
    <w:tmpl w:val="4DA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A15BC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26AA"/>
    <w:multiLevelType w:val="multilevel"/>
    <w:tmpl w:val="1AD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57087"/>
    <w:multiLevelType w:val="multilevel"/>
    <w:tmpl w:val="95BC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E719F"/>
    <w:multiLevelType w:val="hybridMultilevel"/>
    <w:tmpl w:val="5A0E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73C3E"/>
    <w:multiLevelType w:val="multilevel"/>
    <w:tmpl w:val="B3EC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F4BFE"/>
    <w:multiLevelType w:val="hybridMultilevel"/>
    <w:tmpl w:val="957C39B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46753976"/>
    <w:multiLevelType w:val="hybridMultilevel"/>
    <w:tmpl w:val="AF0CF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041A"/>
    <w:multiLevelType w:val="hybridMultilevel"/>
    <w:tmpl w:val="029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845A8"/>
    <w:multiLevelType w:val="multilevel"/>
    <w:tmpl w:val="03B4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05E13"/>
    <w:multiLevelType w:val="multilevel"/>
    <w:tmpl w:val="72CC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DB6AF5"/>
    <w:multiLevelType w:val="hybridMultilevel"/>
    <w:tmpl w:val="9BEAFD0C"/>
    <w:lvl w:ilvl="0" w:tplc="EE389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FB87B74"/>
    <w:multiLevelType w:val="multilevel"/>
    <w:tmpl w:val="D740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3A019B"/>
    <w:multiLevelType w:val="multilevel"/>
    <w:tmpl w:val="6EF2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132BD"/>
    <w:multiLevelType w:val="multilevel"/>
    <w:tmpl w:val="618C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46F5B"/>
    <w:multiLevelType w:val="hybridMultilevel"/>
    <w:tmpl w:val="3B06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83881"/>
    <w:multiLevelType w:val="multilevel"/>
    <w:tmpl w:val="DB9C6E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6" w15:restartNumberingAfterBreak="0">
    <w:nsid w:val="603B0A28"/>
    <w:multiLevelType w:val="multilevel"/>
    <w:tmpl w:val="9D18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A2258"/>
    <w:multiLevelType w:val="multilevel"/>
    <w:tmpl w:val="AC9C7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7BC772B"/>
    <w:multiLevelType w:val="multilevel"/>
    <w:tmpl w:val="E032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666A3"/>
    <w:multiLevelType w:val="multilevel"/>
    <w:tmpl w:val="858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10274C"/>
    <w:multiLevelType w:val="multilevel"/>
    <w:tmpl w:val="6BE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8D1DDE"/>
    <w:multiLevelType w:val="hybridMultilevel"/>
    <w:tmpl w:val="91D88BC2"/>
    <w:lvl w:ilvl="0" w:tplc="C98A6C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77BE3"/>
    <w:multiLevelType w:val="hybridMultilevel"/>
    <w:tmpl w:val="98D6F41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79B45DA"/>
    <w:multiLevelType w:val="multilevel"/>
    <w:tmpl w:val="DEA4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E485B"/>
    <w:multiLevelType w:val="multilevel"/>
    <w:tmpl w:val="23A6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B55E2"/>
    <w:multiLevelType w:val="multilevel"/>
    <w:tmpl w:val="FA4C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0"/>
  </w:num>
  <w:num w:numId="5">
    <w:abstractNumId w:val="32"/>
  </w:num>
  <w:num w:numId="6">
    <w:abstractNumId w:val="15"/>
  </w:num>
  <w:num w:numId="7">
    <w:abstractNumId w:val="3"/>
  </w:num>
  <w:num w:numId="8">
    <w:abstractNumId w:val="25"/>
  </w:num>
  <w:num w:numId="9">
    <w:abstractNumId w:val="16"/>
  </w:num>
  <w:num w:numId="10">
    <w:abstractNumId w:val="31"/>
  </w:num>
  <w:num w:numId="11">
    <w:abstractNumId w:val="13"/>
  </w:num>
  <w:num w:numId="12">
    <w:abstractNumId w:val="10"/>
  </w:num>
  <w:num w:numId="13">
    <w:abstractNumId w:val="18"/>
  </w:num>
  <w:num w:numId="14">
    <w:abstractNumId w:val="8"/>
  </w:num>
  <w:num w:numId="15">
    <w:abstractNumId w:val="0"/>
  </w:num>
  <w:num w:numId="16">
    <w:abstractNumId w:val="35"/>
  </w:num>
  <w:num w:numId="17">
    <w:abstractNumId w:val="29"/>
  </w:num>
  <w:num w:numId="18">
    <w:abstractNumId w:val="22"/>
  </w:num>
  <w:num w:numId="19">
    <w:abstractNumId w:val="7"/>
  </w:num>
  <w:num w:numId="20">
    <w:abstractNumId w:val="12"/>
  </w:num>
  <w:num w:numId="21">
    <w:abstractNumId w:val="21"/>
  </w:num>
  <w:num w:numId="22">
    <w:abstractNumId w:val="9"/>
  </w:num>
  <w:num w:numId="23">
    <w:abstractNumId w:val="26"/>
  </w:num>
  <w:num w:numId="24">
    <w:abstractNumId w:val="19"/>
  </w:num>
  <w:num w:numId="25">
    <w:abstractNumId w:val="14"/>
  </w:num>
  <w:num w:numId="26">
    <w:abstractNumId w:val="34"/>
  </w:num>
  <w:num w:numId="27">
    <w:abstractNumId w:val="23"/>
  </w:num>
  <w:num w:numId="28">
    <w:abstractNumId w:val="30"/>
  </w:num>
  <w:num w:numId="29">
    <w:abstractNumId w:val="28"/>
  </w:num>
  <w:num w:numId="30">
    <w:abstractNumId w:val="4"/>
  </w:num>
  <w:num w:numId="31">
    <w:abstractNumId w:val="1"/>
  </w:num>
  <w:num w:numId="32">
    <w:abstractNumId w:val="6"/>
  </w:num>
  <w:num w:numId="33">
    <w:abstractNumId w:val="5"/>
  </w:num>
  <w:num w:numId="34">
    <w:abstractNumId w:val="33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CF"/>
    <w:rsid w:val="00014916"/>
    <w:rsid w:val="00015277"/>
    <w:rsid w:val="00047786"/>
    <w:rsid w:val="00092E74"/>
    <w:rsid w:val="000D0A1C"/>
    <w:rsid w:val="000D1070"/>
    <w:rsid w:val="000E1DBC"/>
    <w:rsid w:val="000E327A"/>
    <w:rsid w:val="00100616"/>
    <w:rsid w:val="0012199E"/>
    <w:rsid w:val="00127A4C"/>
    <w:rsid w:val="001405E6"/>
    <w:rsid w:val="00146802"/>
    <w:rsid w:val="00150B8D"/>
    <w:rsid w:val="001A3A44"/>
    <w:rsid w:val="001C32B9"/>
    <w:rsid w:val="001C76CD"/>
    <w:rsid w:val="001F36BB"/>
    <w:rsid w:val="00241EC4"/>
    <w:rsid w:val="00246E54"/>
    <w:rsid w:val="00255A43"/>
    <w:rsid w:val="002713EB"/>
    <w:rsid w:val="002D3B4B"/>
    <w:rsid w:val="002E33C2"/>
    <w:rsid w:val="002E595B"/>
    <w:rsid w:val="00326D2D"/>
    <w:rsid w:val="00332D7B"/>
    <w:rsid w:val="003330E4"/>
    <w:rsid w:val="003A70A5"/>
    <w:rsid w:val="003B2744"/>
    <w:rsid w:val="003F4622"/>
    <w:rsid w:val="004124C0"/>
    <w:rsid w:val="00442AD2"/>
    <w:rsid w:val="00446D1E"/>
    <w:rsid w:val="00451A81"/>
    <w:rsid w:val="00462682"/>
    <w:rsid w:val="004B45FF"/>
    <w:rsid w:val="004D59B3"/>
    <w:rsid w:val="004D61CA"/>
    <w:rsid w:val="004E3AB3"/>
    <w:rsid w:val="0051454C"/>
    <w:rsid w:val="00516E9B"/>
    <w:rsid w:val="00522A06"/>
    <w:rsid w:val="00532FFC"/>
    <w:rsid w:val="005424DC"/>
    <w:rsid w:val="00552DEA"/>
    <w:rsid w:val="005816E3"/>
    <w:rsid w:val="005B5788"/>
    <w:rsid w:val="005E0AC9"/>
    <w:rsid w:val="005E10DF"/>
    <w:rsid w:val="005E6B90"/>
    <w:rsid w:val="00604FE7"/>
    <w:rsid w:val="00622489"/>
    <w:rsid w:val="00651383"/>
    <w:rsid w:val="006876BA"/>
    <w:rsid w:val="006D3155"/>
    <w:rsid w:val="006F16F9"/>
    <w:rsid w:val="00737070"/>
    <w:rsid w:val="007C2E78"/>
    <w:rsid w:val="007D16E8"/>
    <w:rsid w:val="007E4ECF"/>
    <w:rsid w:val="007F127A"/>
    <w:rsid w:val="00824F72"/>
    <w:rsid w:val="00836C10"/>
    <w:rsid w:val="00864DCA"/>
    <w:rsid w:val="0087285B"/>
    <w:rsid w:val="008A4C2C"/>
    <w:rsid w:val="008B2904"/>
    <w:rsid w:val="008B5877"/>
    <w:rsid w:val="009254ED"/>
    <w:rsid w:val="00925734"/>
    <w:rsid w:val="00971158"/>
    <w:rsid w:val="00971749"/>
    <w:rsid w:val="009A2094"/>
    <w:rsid w:val="009A6C44"/>
    <w:rsid w:val="009B5C23"/>
    <w:rsid w:val="00A02594"/>
    <w:rsid w:val="00A05397"/>
    <w:rsid w:val="00A1137D"/>
    <w:rsid w:val="00A35D52"/>
    <w:rsid w:val="00A45796"/>
    <w:rsid w:val="00A6272B"/>
    <w:rsid w:val="00A656CA"/>
    <w:rsid w:val="00A8008E"/>
    <w:rsid w:val="00A96ED9"/>
    <w:rsid w:val="00AA6B73"/>
    <w:rsid w:val="00AD5058"/>
    <w:rsid w:val="00AE0E08"/>
    <w:rsid w:val="00B0701A"/>
    <w:rsid w:val="00B07B82"/>
    <w:rsid w:val="00B20050"/>
    <w:rsid w:val="00B62364"/>
    <w:rsid w:val="00B700A2"/>
    <w:rsid w:val="00B86FB7"/>
    <w:rsid w:val="00B92723"/>
    <w:rsid w:val="00B953D4"/>
    <w:rsid w:val="00BA65AE"/>
    <w:rsid w:val="00BC1DA9"/>
    <w:rsid w:val="00BD51CE"/>
    <w:rsid w:val="00BE27DB"/>
    <w:rsid w:val="00BF3F65"/>
    <w:rsid w:val="00BF5ED7"/>
    <w:rsid w:val="00C2672A"/>
    <w:rsid w:val="00C43BF6"/>
    <w:rsid w:val="00C6282E"/>
    <w:rsid w:val="00C7348E"/>
    <w:rsid w:val="00CB5910"/>
    <w:rsid w:val="00CC50FE"/>
    <w:rsid w:val="00CD73CD"/>
    <w:rsid w:val="00D0756E"/>
    <w:rsid w:val="00D316CF"/>
    <w:rsid w:val="00D4777F"/>
    <w:rsid w:val="00D9078B"/>
    <w:rsid w:val="00D93A2D"/>
    <w:rsid w:val="00D94265"/>
    <w:rsid w:val="00D9741F"/>
    <w:rsid w:val="00DB7D7E"/>
    <w:rsid w:val="00DD3D3F"/>
    <w:rsid w:val="00DF3F5F"/>
    <w:rsid w:val="00E22C66"/>
    <w:rsid w:val="00E56E59"/>
    <w:rsid w:val="00E62D76"/>
    <w:rsid w:val="00E729EF"/>
    <w:rsid w:val="00E75496"/>
    <w:rsid w:val="00E75B40"/>
    <w:rsid w:val="00E80B43"/>
    <w:rsid w:val="00E81A43"/>
    <w:rsid w:val="00E82CC8"/>
    <w:rsid w:val="00E857AA"/>
    <w:rsid w:val="00EB4D46"/>
    <w:rsid w:val="00EC602D"/>
    <w:rsid w:val="00ED65FB"/>
    <w:rsid w:val="00EE2D20"/>
    <w:rsid w:val="00F048EB"/>
    <w:rsid w:val="00F11A66"/>
    <w:rsid w:val="00F26B22"/>
    <w:rsid w:val="00F343FD"/>
    <w:rsid w:val="00F55CA0"/>
    <w:rsid w:val="00F57E81"/>
    <w:rsid w:val="00F62AB0"/>
    <w:rsid w:val="00F65BF7"/>
    <w:rsid w:val="00F73F44"/>
    <w:rsid w:val="00F930CE"/>
    <w:rsid w:val="00FC7F23"/>
    <w:rsid w:val="00FD05D7"/>
    <w:rsid w:val="00FD5AEE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F2F"/>
  <w15:chartTrackingRefBased/>
  <w15:docId w15:val="{EC8F6E7F-968D-4FE8-AAF3-6087ACE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CF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31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1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316CF"/>
    <w:pPr>
      <w:ind w:left="720"/>
      <w:contextualSpacing/>
    </w:pPr>
  </w:style>
  <w:style w:type="table" w:styleId="a4">
    <w:name w:val="Table Grid"/>
    <w:basedOn w:val="a1"/>
    <w:uiPriority w:val="39"/>
    <w:rsid w:val="00D316C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316CF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16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6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6C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16C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16C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16C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21">
    <w:name w:val="Основной текст (2)_"/>
    <w:link w:val="22"/>
    <w:locked/>
    <w:rsid w:val="00D316CF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16CF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6"/>
    </w:rPr>
  </w:style>
  <w:style w:type="character" w:customStyle="1" w:styleId="2Exact">
    <w:name w:val="Основной текст (2) Exact"/>
    <w:rsid w:val="00D316CF"/>
    <w:rPr>
      <w:rFonts w:ascii="Times New Roman" w:hAnsi="Times New Roman"/>
      <w:sz w:val="26"/>
      <w:u w:val="none"/>
    </w:rPr>
  </w:style>
  <w:style w:type="paragraph" w:styleId="a5">
    <w:name w:val="TOC Heading"/>
    <w:basedOn w:val="1"/>
    <w:next w:val="a"/>
    <w:uiPriority w:val="39"/>
    <w:unhideWhenUsed/>
    <w:qFormat/>
    <w:rsid w:val="00D316CF"/>
    <w:pPr>
      <w:outlineLvl w:val="9"/>
    </w:pPr>
  </w:style>
  <w:style w:type="character" w:styleId="a6">
    <w:name w:val="line number"/>
    <w:basedOn w:val="a0"/>
    <w:uiPriority w:val="99"/>
    <w:semiHidden/>
    <w:unhideWhenUsed/>
    <w:rsid w:val="00D316CF"/>
  </w:style>
  <w:style w:type="paragraph" w:styleId="a7">
    <w:name w:val="header"/>
    <w:basedOn w:val="a"/>
    <w:link w:val="a8"/>
    <w:uiPriority w:val="99"/>
    <w:unhideWhenUsed/>
    <w:rsid w:val="00D3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6CF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D3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6CF"/>
    <w:rPr>
      <w:rFonts w:eastAsiaTheme="minorEastAsia"/>
    </w:rPr>
  </w:style>
  <w:style w:type="paragraph" w:styleId="ab">
    <w:name w:val="caption"/>
    <w:basedOn w:val="a"/>
    <w:next w:val="a"/>
    <w:uiPriority w:val="35"/>
    <w:semiHidden/>
    <w:unhideWhenUsed/>
    <w:qFormat/>
    <w:rsid w:val="00D316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316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D316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D316C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316CF"/>
    <w:rPr>
      <w:rFonts w:eastAsiaTheme="minorEastAsia"/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D316CF"/>
    <w:rPr>
      <w:b/>
      <w:bCs/>
      <w:color w:val="auto"/>
    </w:rPr>
  </w:style>
  <w:style w:type="character" w:styleId="af1">
    <w:name w:val="Emphasis"/>
    <w:basedOn w:val="a0"/>
    <w:uiPriority w:val="20"/>
    <w:qFormat/>
    <w:rsid w:val="00D316CF"/>
    <w:rPr>
      <w:i/>
      <w:iCs/>
      <w:color w:val="auto"/>
    </w:rPr>
  </w:style>
  <w:style w:type="paragraph" w:styleId="af2">
    <w:name w:val="No Spacing"/>
    <w:uiPriority w:val="1"/>
    <w:qFormat/>
    <w:rsid w:val="00D316CF"/>
    <w:pPr>
      <w:spacing w:after="0" w:line="240" w:lineRule="auto"/>
    </w:pPr>
    <w:rPr>
      <w:rFonts w:eastAsiaTheme="minorEastAsia"/>
    </w:rPr>
  </w:style>
  <w:style w:type="paragraph" w:styleId="23">
    <w:name w:val="Quote"/>
    <w:basedOn w:val="a"/>
    <w:next w:val="a"/>
    <w:link w:val="24"/>
    <w:uiPriority w:val="29"/>
    <w:qFormat/>
    <w:rsid w:val="00D316C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D316CF"/>
    <w:rPr>
      <w:rFonts w:eastAsiaTheme="minorEastAsia"/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D316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316CF"/>
    <w:rPr>
      <w:rFonts w:eastAsiaTheme="minorEastAsia"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D316C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D316CF"/>
    <w:rPr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D316CF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D316CF"/>
    <w:rPr>
      <w:b/>
      <w:bCs/>
      <w:smallCaps/>
      <w:color w:val="4472C4" w:themeColor="accent1"/>
      <w:spacing w:val="5"/>
    </w:rPr>
  </w:style>
  <w:style w:type="character" w:styleId="af9">
    <w:name w:val="Book Title"/>
    <w:basedOn w:val="a0"/>
    <w:uiPriority w:val="33"/>
    <w:qFormat/>
    <w:rsid w:val="00D316CF"/>
    <w:rPr>
      <w:b/>
      <w:bCs/>
      <w:i/>
      <w:iC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D316C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D316CF"/>
    <w:pPr>
      <w:spacing w:after="100"/>
      <w:ind w:left="220"/>
    </w:pPr>
  </w:style>
  <w:style w:type="character" w:styleId="afa">
    <w:name w:val="Hyperlink"/>
    <w:basedOn w:val="a0"/>
    <w:uiPriority w:val="99"/>
    <w:unhideWhenUsed/>
    <w:rsid w:val="00D316CF"/>
    <w:rPr>
      <w:color w:val="0563C1" w:themeColor="hyperlink"/>
      <w:u w:val="single"/>
    </w:rPr>
  </w:style>
  <w:style w:type="character" w:styleId="afb">
    <w:name w:val="Placeholder Text"/>
    <w:basedOn w:val="a0"/>
    <w:uiPriority w:val="99"/>
    <w:semiHidden/>
    <w:rsid w:val="00D316CF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539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6D3155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6D3155"/>
    <w:rPr>
      <w:rFonts w:eastAsiaTheme="minorEastAsia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6D3155"/>
    <w:rPr>
      <w:vertAlign w:val="superscript"/>
    </w:rPr>
  </w:style>
  <w:style w:type="character" w:customStyle="1" w:styleId="path-separator">
    <w:name w:val="path-separator"/>
    <w:basedOn w:val="a0"/>
    <w:rsid w:val="002E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991F-0E71-4148-A9D1-5C1A599E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Часовников</dc:creator>
  <cp:keywords/>
  <dc:description/>
  <cp:lastModifiedBy>Ivan V.</cp:lastModifiedBy>
  <cp:revision>5</cp:revision>
  <dcterms:created xsi:type="dcterms:W3CDTF">2023-02-15T05:51:00Z</dcterms:created>
  <dcterms:modified xsi:type="dcterms:W3CDTF">2025-01-29T04:32:00Z</dcterms:modified>
</cp:coreProperties>
</file>