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B157" w14:textId="77777777" w:rsidR="009237A3" w:rsidRDefault="009237A3">
      <w:pPr>
        <w:pStyle w:val="a3"/>
        <w:ind w:left="860" w:firstLine="0"/>
        <w:jc w:val="left"/>
        <w:rPr>
          <w:sz w:val="20"/>
        </w:rPr>
      </w:pPr>
    </w:p>
    <w:p w14:paraId="05032950" w14:textId="77777777" w:rsidR="009237A3" w:rsidRDefault="00F323DB">
      <w:pPr>
        <w:pStyle w:val="2"/>
        <w:ind w:right="964"/>
        <w:jc w:val="center"/>
      </w:pPr>
      <w:bookmarkStart w:id="0" w:name="Введение"/>
      <w:bookmarkEnd w:id="0"/>
      <w:r>
        <w:rPr>
          <w:spacing w:val="-2"/>
        </w:rPr>
        <w:t>Введение</w:t>
      </w:r>
    </w:p>
    <w:p w14:paraId="6554843A" w14:textId="77777777" w:rsidR="009237A3" w:rsidRDefault="00F323DB">
      <w:pPr>
        <w:pStyle w:val="a3"/>
        <w:spacing w:before="283" w:line="360" w:lineRule="auto"/>
        <w:ind w:right="207"/>
      </w:pPr>
      <w:r>
        <w:t>Суд по интеллектуальным правам (СИП) представляет собой судебную инстанцию, которая занимается разрешением споров по интеллектуальной собственности. Идея создания такого суда базируется на необходимости защиты прав интеллектуальной собственности и борьбы с их нарушением. Суд по интеллектуальным правам имеет компетенцию по рассмотрению споров, связанных с авторским правом, патентным правом, товарными знаками</w:t>
      </w:r>
      <w:r>
        <w:rPr>
          <w:spacing w:val="40"/>
        </w:rPr>
        <w:t xml:space="preserve"> </w:t>
      </w:r>
      <w:r>
        <w:t>и другими видами интеллектуальной собственности. В Интеллектуальная собственность является важной составляющей бизнеса, включая транспортные организации. Операции с товарными знаками, патентами, авторскими правами</w:t>
      </w:r>
      <w:r>
        <w:rPr>
          <w:spacing w:val="40"/>
        </w:rPr>
        <w:t xml:space="preserve"> </w:t>
      </w:r>
      <w:r>
        <w:t>и другими формами интеллектуальной собственности, которые используются в транспортной отрасли, могут стать объектом споров и конфликтов между организациями. В таких случаях, Суд по интеллектуальным правам играет достаточно важную</w:t>
      </w:r>
      <w:r>
        <w:rPr>
          <w:spacing w:val="40"/>
        </w:rPr>
        <w:t xml:space="preserve"> </w:t>
      </w:r>
      <w:r>
        <w:t>роль в защите прав собственности и интересов транспортных организаций.</w:t>
      </w:r>
    </w:p>
    <w:p w14:paraId="76619EAD" w14:textId="77777777" w:rsidR="009237A3" w:rsidRDefault="00F323DB">
      <w:pPr>
        <w:pStyle w:val="a3"/>
        <w:spacing w:before="4" w:line="360" w:lineRule="auto"/>
        <w:ind w:right="207"/>
      </w:pPr>
      <w:r>
        <w:t>В последнее время число споров, связанных</w:t>
      </w:r>
      <w:r>
        <w:rPr>
          <w:spacing w:val="-1"/>
        </w:rPr>
        <w:t xml:space="preserve"> </w:t>
      </w:r>
      <w:r>
        <w:t>с защитой интеллектуальных прав непрерывно растет, поэтому СИП, безусловно, является важным специализированным арбитражным судом в Российской Федерации.</w:t>
      </w:r>
    </w:p>
    <w:p w14:paraId="1A114B7C" w14:textId="77777777" w:rsidR="009237A3" w:rsidRDefault="00F323DB">
      <w:pPr>
        <w:pStyle w:val="a3"/>
        <w:spacing w:before="1" w:line="360" w:lineRule="auto"/>
        <w:ind w:right="201"/>
      </w:pPr>
      <w:r>
        <w:rPr>
          <w:b/>
        </w:rPr>
        <w:t xml:space="preserve">Актуальность работы. </w:t>
      </w:r>
      <w:r>
        <w:t>Транспортная отрасль является одной из ключевых отраслей в экономике, и защита интеллектуальной собственности в этой сфере может оказывать существенное влияние на развитие и процветание этой отрасли.</w:t>
      </w:r>
    </w:p>
    <w:p w14:paraId="2489989C" w14:textId="77777777" w:rsidR="009237A3" w:rsidRDefault="00F323DB">
      <w:pPr>
        <w:pStyle w:val="a3"/>
        <w:spacing w:line="360" w:lineRule="auto"/>
        <w:ind w:right="207"/>
      </w:pPr>
      <w:r>
        <w:t>Также, с появлением новых технологий развитием цифровой экономики возникают новые спорные вопросы, связанные с использованием информационных технологий в сфере транспорта, например, вопросы использования интеллектуальной собственности в электронных транспортных системах, автономных транспортных средствах и т.д.</w:t>
      </w:r>
    </w:p>
    <w:p w14:paraId="4DB053DD" w14:textId="77777777" w:rsidR="009237A3" w:rsidRDefault="00F323DB">
      <w:pPr>
        <w:pStyle w:val="a3"/>
        <w:ind w:left="970" w:firstLine="0"/>
      </w:pPr>
      <w:r>
        <w:t>Стоит</w:t>
      </w:r>
      <w:r>
        <w:rPr>
          <w:spacing w:val="44"/>
        </w:rPr>
        <w:t xml:space="preserve"> </w:t>
      </w:r>
      <w:r>
        <w:t>также</w:t>
      </w:r>
      <w:r>
        <w:rPr>
          <w:spacing w:val="47"/>
        </w:rPr>
        <w:t xml:space="preserve"> </w:t>
      </w:r>
      <w:r>
        <w:t>акцентировать</w:t>
      </w:r>
      <w:r>
        <w:rPr>
          <w:spacing w:val="44"/>
        </w:rPr>
        <w:t xml:space="preserve"> </w:t>
      </w:r>
      <w:r>
        <w:t>внимание</w:t>
      </w:r>
      <w:r>
        <w:rPr>
          <w:spacing w:val="52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том,</w:t>
      </w:r>
      <w:r>
        <w:rPr>
          <w:spacing w:val="49"/>
        </w:rPr>
        <w:t xml:space="preserve"> </w:t>
      </w:r>
      <w:r>
        <w:t>что</w:t>
      </w:r>
      <w:r>
        <w:rPr>
          <w:spacing w:val="46"/>
        </w:rPr>
        <w:t xml:space="preserve"> </w:t>
      </w:r>
      <w:r>
        <w:t>споры</w:t>
      </w:r>
      <w:r>
        <w:rPr>
          <w:spacing w:val="46"/>
        </w:rPr>
        <w:t xml:space="preserve"> </w:t>
      </w:r>
      <w:r>
        <w:rPr>
          <w:spacing w:val="-2"/>
        </w:rPr>
        <w:t>транспортных</w:t>
      </w:r>
    </w:p>
    <w:p w14:paraId="008E3229" w14:textId="77777777" w:rsidR="009237A3" w:rsidRDefault="009237A3">
      <w:pPr>
        <w:pStyle w:val="a3"/>
        <w:sectPr w:rsidR="009237A3">
          <w:footerReference w:type="default" r:id="rId7"/>
          <w:pgSz w:w="11910" w:h="16840"/>
          <w:pgMar w:top="1040" w:right="360" w:bottom="1660" w:left="1440" w:header="0" w:footer="1475" w:gutter="0"/>
          <w:pgNumType w:start="3"/>
          <w:cols w:space="720"/>
        </w:sectPr>
      </w:pPr>
    </w:p>
    <w:p w14:paraId="6A26FF72" w14:textId="77777777" w:rsidR="009237A3" w:rsidRDefault="00F323DB">
      <w:pPr>
        <w:pStyle w:val="a3"/>
        <w:spacing w:before="67" w:line="360" w:lineRule="auto"/>
        <w:ind w:right="213" w:firstLine="0"/>
      </w:pPr>
      <w:r>
        <w:lastRenderedPageBreak/>
        <w:t>организаций в Суде по интеллектуальным правам могут оказывать влияние на рыночную конкуренцию в этой области, в том числе защитой прав на товарные знаки и другие объекты интеллектуальной собственности.</w:t>
      </w:r>
    </w:p>
    <w:p w14:paraId="7522AD3A" w14:textId="77777777" w:rsidR="009237A3" w:rsidRDefault="00F323DB">
      <w:pPr>
        <w:pStyle w:val="a3"/>
        <w:spacing w:before="2" w:line="360" w:lineRule="auto"/>
        <w:ind w:right="211"/>
      </w:pPr>
      <w:r>
        <w:rPr>
          <w:b/>
        </w:rPr>
        <w:t xml:space="preserve">Целью работы </w:t>
      </w:r>
      <w:r>
        <w:t xml:space="preserve">выступает исследование полномочий Суда по интеллектуальным правам при рассмотрении споров с участием транспортных </w:t>
      </w:r>
      <w:r>
        <w:rPr>
          <w:spacing w:val="-2"/>
        </w:rPr>
        <w:t>организаций.</w:t>
      </w:r>
    </w:p>
    <w:p w14:paraId="4E5C7631" w14:textId="77777777" w:rsidR="009237A3" w:rsidRDefault="00F323DB">
      <w:pPr>
        <w:spacing w:before="1"/>
        <w:ind w:left="970"/>
        <w:jc w:val="both"/>
        <w:rPr>
          <w:sz w:val="28"/>
        </w:rPr>
      </w:pPr>
      <w:r>
        <w:rPr>
          <w:b/>
          <w:sz w:val="28"/>
        </w:rPr>
        <w:t>Объектом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-9"/>
          <w:sz w:val="28"/>
        </w:rPr>
        <w:t xml:space="preserve"> </w:t>
      </w:r>
      <w:r>
        <w:rPr>
          <w:sz w:val="28"/>
        </w:rPr>
        <w:t>Суд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интеллектуальным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РФ</w:t>
      </w:r>
    </w:p>
    <w:p w14:paraId="4C2F13D6" w14:textId="77777777" w:rsidR="009237A3" w:rsidRDefault="00F323DB">
      <w:pPr>
        <w:pStyle w:val="a3"/>
        <w:spacing w:before="163" w:line="360" w:lineRule="auto"/>
        <w:ind w:right="203"/>
      </w:pPr>
      <w:r>
        <w:rPr>
          <w:b/>
        </w:rPr>
        <w:t xml:space="preserve">Предметом представленной работы </w:t>
      </w:r>
      <w:r>
        <w:t>выступает</w:t>
      </w:r>
      <w:r>
        <w:rPr>
          <w:spacing w:val="40"/>
        </w:rPr>
        <w:t xml:space="preserve"> </w:t>
      </w:r>
      <w:r>
        <w:t>совокупность научно- теоретических положений ученых по теме исследования, норм права, регулирующих деятельность Суда по интеллектуальным правам, а также практики их применения.</w:t>
      </w:r>
    </w:p>
    <w:p w14:paraId="4518D102" w14:textId="77777777" w:rsidR="009237A3" w:rsidRDefault="00F323DB">
      <w:pPr>
        <w:pStyle w:val="2"/>
        <w:spacing w:before="3"/>
        <w:ind w:left="970"/>
        <w:jc w:val="both"/>
      </w:pPr>
      <w:r>
        <w:t>Задачами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14:paraId="64171284" w14:textId="77777777" w:rsidR="009237A3" w:rsidRDefault="00F323DB">
      <w:pPr>
        <w:pStyle w:val="a4"/>
        <w:numPr>
          <w:ilvl w:val="0"/>
          <w:numId w:val="10"/>
        </w:numPr>
        <w:tabs>
          <w:tab w:val="left" w:pos="980"/>
        </w:tabs>
        <w:spacing w:before="158" w:line="357" w:lineRule="auto"/>
        <w:ind w:right="218"/>
        <w:rPr>
          <w:sz w:val="28"/>
        </w:rPr>
      </w:pPr>
      <w:r>
        <w:rPr>
          <w:sz w:val="28"/>
        </w:rPr>
        <w:t>Дать правовую характеристику места Суда по интеллектуальным правам в системе арбитражных судов РФ</w:t>
      </w:r>
    </w:p>
    <w:p w14:paraId="642E3528" w14:textId="77777777" w:rsidR="009237A3" w:rsidRDefault="00F323DB">
      <w:pPr>
        <w:pStyle w:val="a4"/>
        <w:numPr>
          <w:ilvl w:val="0"/>
          <w:numId w:val="10"/>
        </w:numPr>
        <w:tabs>
          <w:tab w:val="left" w:pos="979"/>
        </w:tabs>
        <w:spacing w:before="6"/>
        <w:ind w:left="979" w:hanging="359"/>
        <w:rPr>
          <w:sz w:val="28"/>
        </w:rPr>
      </w:pPr>
      <w:r>
        <w:rPr>
          <w:sz w:val="28"/>
        </w:rPr>
        <w:t>Рассмотреть</w:t>
      </w:r>
      <w:r>
        <w:rPr>
          <w:spacing w:val="-1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8"/>
          <w:sz w:val="28"/>
        </w:rPr>
        <w:t xml:space="preserve"> </w:t>
      </w:r>
      <w:r>
        <w:rPr>
          <w:sz w:val="28"/>
        </w:rPr>
        <w:t>Суда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интеллектуальным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правам</w:t>
      </w:r>
    </w:p>
    <w:p w14:paraId="5BBA2C40" w14:textId="77777777" w:rsidR="009237A3" w:rsidRDefault="00F323DB">
      <w:pPr>
        <w:pStyle w:val="a4"/>
        <w:numPr>
          <w:ilvl w:val="0"/>
          <w:numId w:val="10"/>
        </w:numPr>
        <w:tabs>
          <w:tab w:val="left" w:pos="979"/>
        </w:tabs>
        <w:spacing w:before="158"/>
        <w:ind w:left="979" w:hanging="359"/>
        <w:rPr>
          <w:sz w:val="28"/>
        </w:rPr>
      </w:pPr>
      <w:r>
        <w:rPr>
          <w:sz w:val="28"/>
        </w:rPr>
        <w:t>Проанализировать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53"/>
          <w:sz w:val="28"/>
        </w:rPr>
        <w:t xml:space="preserve"> </w:t>
      </w:r>
      <w:r>
        <w:rPr>
          <w:sz w:val="28"/>
        </w:rPr>
        <w:t>Суда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интеллектуальным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правам</w:t>
      </w:r>
    </w:p>
    <w:p w14:paraId="10408299" w14:textId="77777777" w:rsidR="009237A3" w:rsidRDefault="00F323DB">
      <w:pPr>
        <w:pStyle w:val="a4"/>
        <w:numPr>
          <w:ilvl w:val="0"/>
          <w:numId w:val="10"/>
        </w:numPr>
        <w:tabs>
          <w:tab w:val="left" w:pos="979"/>
        </w:tabs>
        <w:spacing w:before="163"/>
        <w:ind w:left="979" w:hanging="359"/>
        <w:jc w:val="both"/>
        <w:rPr>
          <w:sz w:val="28"/>
        </w:rPr>
      </w:pPr>
      <w:r>
        <w:rPr>
          <w:sz w:val="28"/>
        </w:rPr>
        <w:t>Исследовать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интеллектуальным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правам</w:t>
      </w:r>
    </w:p>
    <w:p w14:paraId="15DED7EA" w14:textId="77777777" w:rsidR="009237A3" w:rsidRDefault="00F323DB">
      <w:pPr>
        <w:pStyle w:val="a4"/>
        <w:numPr>
          <w:ilvl w:val="0"/>
          <w:numId w:val="10"/>
        </w:numPr>
        <w:tabs>
          <w:tab w:val="left" w:pos="980"/>
        </w:tabs>
        <w:spacing w:before="163" w:line="355" w:lineRule="auto"/>
        <w:ind w:right="212"/>
        <w:jc w:val="both"/>
        <w:rPr>
          <w:sz w:val="28"/>
        </w:rPr>
      </w:pPr>
      <w:r>
        <w:rPr>
          <w:sz w:val="28"/>
        </w:rPr>
        <w:t xml:space="preserve">Выявить особенности рассмотрения споров с участием транспортных </w:t>
      </w:r>
      <w:r>
        <w:rPr>
          <w:spacing w:val="-2"/>
          <w:sz w:val="28"/>
        </w:rPr>
        <w:t>организаций</w:t>
      </w:r>
    </w:p>
    <w:sectPr w:rsidR="009237A3" w:rsidSect="00223B3B">
      <w:pgSz w:w="11910" w:h="16840"/>
      <w:pgMar w:top="1040" w:right="360" w:bottom="1700" w:left="1440" w:header="0" w:footer="1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3A542" w14:textId="77777777" w:rsidR="004D55FA" w:rsidRDefault="004D55FA">
      <w:r>
        <w:separator/>
      </w:r>
    </w:p>
  </w:endnote>
  <w:endnote w:type="continuationSeparator" w:id="0">
    <w:p w14:paraId="120FD2E0" w14:textId="77777777" w:rsidR="004D55FA" w:rsidRDefault="004D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B37D" w14:textId="77777777" w:rsidR="009237A3" w:rsidRDefault="00F323DB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236608" behindDoc="1" locked="0" layoutInCell="1" allowOverlap="1" wp14:anchorId="050363FC" wp14:editId="6E1F6AE8">
              <wp:simplePos x="0" y="0"/>
              <wp:positionH relativeFrom="page">
                <wp:posOffset>4057903</wp:posOffset>
              </wp:positionH>
              <wp:positionV relativeFrom="page">
                <wp:posOffset>9595815</wp:posOffset>
              </wp:positionV>
              <wp:extent cx="165735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FFB023" w14:textId="77777777" w:rsidR="009237A3" w:rsidRDefault="00F323D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0363FC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319.5pt;margin-top:755.6pt;width:13.05pt;height:13.05pt;z-index:-1607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" filled="f" stroked="f">
              <v:textbox inset="0,0,0,0">
                <w:txbxContent>
                  <w:p w14:paraId="76FFB023" w14:textId="77777777" w:rsidR="009237A3" w:rsidRDefault="00F323DB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7D975" w14:textId="77777777" w:rsidR="004D55FA" w:rsidRDefault="004D55FA">
      <w:r>
        <w:separator/>
      </w:r>
    </w:p>
  </w:footnote>
  <w:footnote w:type="continuationSeparator" w:id="0">
    <w:p w14:paraId="0A8040EE" w14:textId="77777777" w:rsidR="004D55FA" w:rsidRDefault="004D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603C"/>
    <w:multiLevelType w:val="hybridMultilevel"/>
    <w:tmpl w:val="5F8AB364"/>
    <w:lvl w:ilvl="0" w:tplc="B86CBA48">
      <w:start w:val="1"/>
      <w:numFmt w:val="decimal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BA876CA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85465A42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174E770E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 w:tplc="DA905678">
      <w:numFmt w:val="bullet"/>
      <w:lvlText w:val="•"/>
      <w:lvlJc w:val="left"/>
      <w:pPr>
        <w:ind w:left="4629" w:hanging="360"/>
      </w:pPr>
      <w:rPr>
        <w:rFonts w:hint="default"/>
        <w:lang w:val="ru-RU" w:eastAsia="en-US" w:bidi="ar-SA"/>
      </w:rPr>
    </w:lvl>
    <w:lvl w:ilvl="5" w:tplc="99ACCAD2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6" w:tplc="6120A0EA">
      <w:numFmt w:val="bullet"/>
      <w:lvlText w:val="•"/>
      <w:lvlJc w:val="left"/>
      <w:pPr>
        <w:ind w:left="6454" w:hanging="360"/>
      </w:pPr>
      <w:rPr>
        <w:rFonts w:hint="default"/>
        <w:lang w:val="ru-RU" w:eastAsia="en-US" w:bidi="ar-SA"/>
      </w:rPr>
    </w:lvl>
    <w:lvl w:ilvl="7" w:tplc="C494EA6A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6354FC08">
      <w:numFmt w:val="bullet"/>
      <w:lvlText w:val="•"/>
      <w:lvlJc w:val="left"/>
      <w:pPr>
        <w:ind w:left="827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C1737F"/>
    <w:multiLevelType w:val="hybridMultilevel"/>
    <w:tmpl w:val="20968C98"/>
    <w:lvl w:ilvl="0" w:tplc="46F2481E">
      <w:start w:val="1"/>
      <w:numFmt w:val="decimal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F9C3096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631C8EF8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5936FD8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 w:tplc="614C3D3E">
      <w:numFmt w:val="bullet"/>
      <w:lvlText w:val="•"/>
      <w:lvlJc w:val="left"/>
      <w:pPr>
        <w:ind w:left="4629" w:hanging="360"/>
      </w:pPr>
      <w:rPr>
        <w:rFonts w:hint="default"/>
        <w:lang w:val="ru-RU" w:eastAsia="en-US" w:bidi="ar-SA"/>
      </w:rPr>
    </w:lvl>
    <w:lvl w:ilvl="5" w:tplc="D90ADDDC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6" w:tplc="014AB674">
      <w:numFmt w:val="bullet"/>
      <w:lvlText w:val="•"/>
      <w:lvlJc w:val="left"/>
      <w:pPr>
        <w:ind w:left="6454" w:hanging="360"/>
      </w:pPr>
      <w:rPr>
        <w:rFonts w:hint="default"/>
        <w:lang w:val="ru-RU" w:eastAsia="en-US" w:bidi="ar-SA"/>
      </w:rPr>
    </w:lvl>
    <w:lvl w:ilvl="7" w:tplc="22FC8B80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3BA0BB64">
      <w:numFmt w:val="bullet"/>
      <w:lvlText w:val="•"/>
      <w:lvlJc w:val="left"/>
      <w:pPr>
        <w:ind w:left="827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FC371D"/>
    <w:multiLevelType w:val="hybridMultilevel"/>
    <w:tmpl w:val="1E02A002"/>
    <w:lvl w:ilvl="0" w:tplc="D966AEB2">
      <w:start w:val="1"/>
      <w:numFmt w:val="decimal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55460CA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820A629E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B66285E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 w:tplc="FBBE6B62">
      <w:numFmt w:val="bullet"/>
      <w:lvlText w:val="•"/>
      <w:lvlJc w:val="left"/>
      <w:pPr>
        <w:ind w:left="4629" w:hanging="360"/>
      </w:pPr>
      <w:rPr>
        <w:rFonts w:hint="default"/>
        <w:lang w:val="ru-RU" w:eastAsia="en-US" w:bidi="ar-SA"/>
      </w:rPr>
    </w:lvl>
    <w:lvl w:ilvl="5" w:tplc="232CA328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6" w:tplc="A168A2CE">
      <w:numFmt w:val="bullet"/>
      <w:lvlText w:val="•"/>
      <w:lvlJc w:val="left"/>
      <w:pPr>
        <w:ind w:left="6454" w:hanging="360"/>
      </w:pPr>
      <w:rPr>
        <w:rFonts w:hint="default"/>
        <w:lang w:val="ru-RU" w:eastAsia="en-US" w:bidi="ar-SA"/>
      </w:rPr>
    </w:lvl>
    <w:lvl w:ilvl="7" w:tplc="2D661B68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D5C0D370">
      <w:numFmt w:val="bullet"/>
      <w:lvlText w:val="•"/>
      <w:lvlJc w:val="left"/>
      <w:pPr>
        <w:ind w:left="827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306624C"/>
    <w:multiLevelType w:val="hybridMultilevel"/>
    <w:tmpl w:val="82BCC5A6"/>
    <w:lvl w:ilvl="0" w:tplc="2ACA15DC">
      <w:start w:val="1"/>
      <w:numFmt w:val="decimal"/>
      <w:lvlText w:val="%1."/>
      <w:lvlJc w:val="left"/>
      <w:pPr>
        <w:ind w:left="13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6DEC858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900CC56C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3" w:tplc="6AC2153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4" w:tplc="DD965E78">
      <w:numFmt w:val="bullet"/>
      <w:lvlText w:val="•"/>
      <w:lvlJc w:val="left"/>
      <w:pPr>
        <w:ind w:left="4845" w:hanging="360"/>
      </w:pPr>
      <w:rPr>
        <w:rFonts w:hint="default"/>
        <w:lang w:val="ru-RU" w:eastAsia="en-US" w:bidi="ar-SA"/>
      </w:rPr>
    </w:lvl>
    <w:lvl w:ilvl="5" w:tplc="97168DDA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6" w:tplc="56E63398">
      <w:numFmt w:val="bullet"/>
      <w:lvlText w:val="•"/>
      <w:lvlJc w:val="left"/>
      <w:pPr>
        <w:ind w:left="6598" w:hanging="360"/>
      </w:pPr>
      <w:rPr>
        <w:rFonts w:hint="default"/>
        <w:lang w:val="ru-RU" w:eastAsia="en-US" w:bidi="ar-SA"/>
      </w:rPr>
    </w:lvl>
    <w:lvl w:ilvl="7" w:tplc="E04AF62C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 w:tplc="7C9A93A6"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52D3981"/>
    <w:multiLevelType w:val="hybridMultilevel"/>
    <w:tmpl w:val="7AD26C8E"/>
    <w:lvl w:ilvl="0" w:tplc="0D28F3C4">
      <w:start w:val="1"/>
      <w:numFmt w:val="decimal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4140B220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21BEBE76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331648B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 w:tplc="82383B2A">
      <w:numFmt w:val="bullet"/>
      <w:lvlText w:val="•"/>
      <w:lvlJc w:val="left"/>
      <w:pPr>
        <w:ind w:left="4629" w:hanging="360"/>
      </w:pPr>
      <w:rPr>
        <w:rFonts w:hint="default"/>
        <w:lang w:val="ru-RU" w:eastAsia="en-US" w:bidi="ar-SA"/>
      </w:rPr>
    </w:lvl>
    <w:lvl w:ilvl="5" w:tplc="1A1C037C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6" w:tplc="22BA98B2">
      <w:numFmt w:val="bullet"/>
      <w:lvlText w:val="•"/>
      <w:lvlJc w:val="left"/>
      <w:pPr>
        <w:ind w:left="6454" w:hanging="360"/>
      </w:pPr>
      <w:rPr>
        <w:rFonts w:hint="default"/>
        <w:lang w:val="ru-RU" w:eastAsia="en-US" w:bidi="ar-SA"/>
      </w:rPr>
    </w:lvl>
    <w:lvl w:ilvl="7" w:tplc="79B6C6C8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9CA289A6">
      <w:numFmt w:val="bullet"/>
      <w:lvlText w:val="•"/>
      <w:lvlJc w:val="left"/>
      <w:pPr>
        <w:ind w:left="827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65940B4"/>
    <w:multiLevelType w:val="hybridMultilevel"/>
    <w:tmpl w:val="EB7EF918"/>
    <w:lvl w:ilvl="0" w:tplc="B4C68D8C">
      <w:start w:val="1"/>
      <w:numFmt w:val="decimal"/>
      <w:lvlText w:val="%1."/>
      <w:lvlJc w:val="left"/>
      <w:pPr>
        <w:ind w:left="259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8682FB4">
      <w:numFmt w:val="bullet"/>
      <w:lvlText w:val="•"/>
      <w:lvlJc w:val="left"/>
      <w:pPr>
        <w:ind w:left="1244" w:hanging="298"/>
      </w:pPr>
      <w:rPr>
        <w:rFonts w:hint="default"/>
        <w:lang w:val="ru-RU" w:eastAsia="en-US" w:bidi="ar-SA"/>
      </w:rPr>
    </w:lvl>
    <w:lvl w:ilvl="2" w:tplc="92680AFC">
      <w:numFmt w:val="bullet"/>
      <w:lvlText w:val="•"/>
      <w:lvlJc w:val="left"/>
      <w:pPr>
        <w:ind w:left="2228" w:hanging="298"/>
      </w:pPr>
      <w:rPr>
        <w:rFonts w:hint="default"/>
        <w:lang w:val="ru-RU" w:eastAsia="en-US" w:bidi="ar-SA"/>
      </w:rPr>
    </w:lvl>
    <w:lvl w:ilvl="3" w:tplc="B582F40A">
      <w:numFmt w:val="bullet"/>
      <w:lvlText w:val="•"/>
      <w:lvlJc w:val="left"/>
      <w:pPr>
        <w:ind w:left="3213" w:hanging="298"/>
      </w:pPr>
      <w:rPr>
        <w:rFonts w:hint="default"/>
        <w:lang w:val="ru-RU" w:eastAsia="en-US" w:bidi="ar-SA"/>
      </w:rPr>
    </w:lvl>
    <w:lvl w:ilvl="4" w:tplc="CEC03410">
      <w:numFmt w:val="bullet"/>
      <w:lvlText w:val="•"/>
      <w:lvlJc w:val="left"/>
      <w:pPr>
        <w:ind w:left="4197" w:hanging="298"/>
      </w:pPr>
      <w:rPr>
        <w:rFonts w:hint="default"/>
        <w:lang w:val="ru-RU" w:eastAsia="en-US" w:bidi="ar-SA"/>
      </w:rPr>
    </w:lvl>
    <w:lvl w:ilvl="5" w:tplc="D216546E">
      <w:numFmt w:val="bullet"/>
      <w:lvlText w:val="•"/>
      <w:lvlJc w:val="left"/>
      <w:pPr>
        <w:ind w:left="5182" w:hanging="298"/>
      </w:pPr>
      <w:rPr>
        <w:rFonts w:hint="default"/>
        <w:lang w:val="ru-RU" w:eastAsia="en-US" w:bidi="ar-SA"/>
      </w:rPr>
    </w:lvl>
    <w:lvl w:ilvl="6" w:tplc="6816B4F8">
      <w:numFmt w:val="bullet"/>
      <w:lvlText w:val="•"/>
      <w:lvlJc w:val="left"/>
      <w:pPr>
        <w:ind w:left="6166" w:hanging="298"/>
      </w:pPr>
      <w:rPr>
        <w:rFonts w:hint="default"/>
        <w:lang w:val="ru-RU" w:eastAsia="en-US" w:bidi="ar-SA"/>
      </w:rPr>
    </w:lvl>
    <w:lvl w:ilvl="7" w:tplc="3A0062B4">
      <w:numFmt w:val="bullet"/>
      <w:lvlText w:val="•"/>
      <w:lvlJc w:val="left"/>
      <w:pPr>
        <w:ind w:left="7150" w:hanging="298"/>
      </w:pPr>
      <w:rPr>
        <w:rFonts w:hint="default"/>
        <w:lang w:val="ru-RU" w:eastAsia="en-US" w:bidi="ar-SA"/>
      </w:rPr>
    </w:lvl>
    <w:lvl w:ilvl="8" w:tplc="31841870">
      <w:numFmt w:val="bullet"/>
      <w:lvlText w:val="•"/>
      <w:lvlJc w:val="left"/>
      <w:pPr>
        <w:ind w:left="8135" w:hanging="298"/>
      </w:pPr>
      <w:rPr>
        <w:rFonts w:hint="default"/>
        <w:lang w:val="ru-RU" w:eastAsia="en-US" w:bidi="ar-SA"/>
      </w:rPr>
    </w:lvl>
  </w:abstractNum>
  <w:abstractNum w:abstractNumId="6" w15:restartNumberingAfterBreak="0">
    <w:nsid w:val="3E5C0FB9"/>
    <w:multiLevelType w:val="hybridMultilevel"/>
    <w:tmpl w:val="AFA01B94"/>
    <w:lvl w:ilvl="0" w:tplc="4E44FD46">
      <w:start w:val="1"/>
      <w:numFmt w:val="decimal"/>
      <w:lvlText w:val="%1."/>
      <w:lvlJc w:val="left"/>
      <w:pPr>
        <w:ind w:left="118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3DEA4EA">
      <w:start w:val="1"/>
      <w:numFmt w:val="decimal"/>
      <w:lvlText w:val="%2."/>
      <w:lvlJc w:val="left"/>
      <w:pPr>
        <w:ind w:left="170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9BAD4D0">
      <w:numFmt w:val="bullet"/>
      <w:lvlText w:val="•"/>
      <w:lvlJc w:val="left"/>
      <w:pPr>
        <w:ind w:left="2633" w:hanging="361"/>
      </w:pPr>
      <w:rPr>
        <w:rFonts w:hint="default"/>
        <w:lang w:val="ru-RU" w:eastAsia="en-US" w:bidi="ar-SA"/>
      </w:rPr>
    </w:lvl>
    <w:lvl w:ilvl="3" w:tplc="BE0A39C0">
      <w:numFmt w:val="bullet"/>
      <w:lvlText w:val="•"/>
      <w:lvlJc w:val="left"/>
      <w:pPr>
        <w:ind w:left="3567" w:hanging="361"/>
      </w:pPr>
      <w:rPr>
        <w:rFonts w:hint="default"/>
        <w:lang w:val="ru-RU" w:eastAsia="en-US" w:bidi="ar-SA"/>
      </w:rPr>
    </w:lvl>
    <w:lvl w:ilvl="4" w:tplc="C952EEFA">
      <w:numFmt w:val="bullet"/>
      <w:lvlText w:val="•"/>
      <w:lvlJc w:val="left"/>
      <w:pPr>
        <w:ind w:left="4501" w:hanging="361"/>
      </w:pPr>
      <w:rPr>
        <w:rFonts w:hint="default"/>
        <w:lang w:val="ru-RU" w:eastAsia="en-US" w:bidi="ar-SA"/>
      </w:rPr>
    </w:lvl>
    <w:lvl w:ilvl="5" w:tplc="7BD62C56">
      <w:numFmt w:val="bullet"/>
      <w:lvlText w:val="•"/>
      <w:lvlJc w:val="left"/>
      <w:pPr>
        <w:ind w:left="5435" w:hanging="361"/>
      </w:pPr>
      <w:rPr>
        <w:rFonts w:hint="default"/>
        <w:lang w:val="ru-RU" w:eastAsia="en-US" w:bidi="ar-SA"/>
      </w:rPr>
    </w:lvl>
    <w:lvl w:ilvl="6" w:tplc="30BC274C">
      <w:numFmt w:val="bullet"/>
      <w:lvlText w:val="•"/>
      <w:lvlJc w:val="left"/>
      <w:pPr>
        <w:ind w:left="6368" w:hanging="361"/>
      </w:pPr>
      <w:rPr>
        <w:rFonts w:hint="default"/>
        <w:lang w:val="ru-RU" w:eastAsia="en-US" w:bidi="ar-SA"/>
      </w:rPr>
    </w:lvl>
    <w:lvl w:ilvl="7" w:tplc="108AC8A2">
      <w:numFmt w:val="bullet"/>
      <w:lvlText w:val="•"/>
      <w:lvlJc w:val="left"/>
      <w:pPr>
        <w:ind w:left="7302" w:hanging="361"/>
      </w:pPr>
      <w:rPr>
        <w:rFonts w:hint="default"/>
        <w:lang w:val="ru-RU" w:eastAsia="en-US" w:bidi="ar-SA"/>
      </w:rPr>
    </w:lvl>
    <w:lvl w:ilvl="8" w:tplc="73143854">
      <w:numFmt w:val="bullet"/>
      <w:lvlText w:val="•"/>
      <w:lvlJc w:val="left"/>
      <w:pPr>
        <w:ind w:left="8236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56A00928"/>
    <w:multiLevelType w:val="hybridMultilevel"/>
    <w:tmpl w:val="E3B4F0A4"/>
    <w:lvl w:ilvl="0" w:tplc="453C90FE">
      <w:start w:val="1"/>
      <w:numFmt w:val="decimal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3CA9862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6D36397C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DA06B96C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 w:tplc="E5521A7E">
      <w:numFmt w:val="bullet"/>
      <w:lvlText w:val="•"/>
      <w:lvlJc w:val="left"/>
      <w:pPr>
        <w:ind w:left="4629" w:hanging="360"/>
      </w:pPr>
      <w:rPr>
        <w:rFonts w:hint="default"/>
        <w:lang w:val="ru-RU" w:eastAsia="en-US" w:bidi="ar-SA"/>
      </w:rPr>
    </w:lvl>
    <w:lvl w:ilvl="5" w:tplc="A75887AE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6" w:tplc="C6A2E618">
      <w:numFmt w:val="bullet"/>
      <w:lvlText w:val="•"/>
      <w:lvlJc w:val="left"/>
      <w:pPr>
        <w:ind w:left="6454" w:hanging="360"/>
      </w:pPr>
      <w:rPr>
        <w:rFonts w:hint="default"/>
        <w:lang w:val="ru-RU" w:eastAsia="en-US" w:bidi="ar-SA"/>
      </w:rPr>
    </w:lvl>
    <w:lvl w:ilvl="7" w:tplc="B1742DCC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5C907FFE">
      <w:numFmt w:val="bullet"/>
      <w:lvlText w:val="•"/>
      <w:lvlJc w:val="left"/>
      <w:pPr>
        <w:ind w:left="827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9A53B7F"/>
    <w:multiLevelType w:val="multilevel"/>
    <w:tmpl w:val="6B46E344"/>
    <w:lvl w:ilvl="0">
      <w:start w:val="1"/>
      <w:numFmt w:val="decimal"/>
      <w:lvlText w:val="%1"/>
      <w:lvlJc w:val="left"/>
      <w:pPr>
        <w:ind w:left="259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" w:hanging="5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4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3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60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5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732762E3"/>
    <w:multiLevelType w:val="hybridMultilevel"/>
    <w:tmpl w:val="DEC8294C"/>
    <w:lvl w:ilvl="0" w:tplc="A7A6139C">
      <w:start w:val="1"/>
      <w:numFmt w:val="decimal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E2E3E02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638A1F52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ED0C7A9C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 w:tplc="227095AC">
      <w:numFmt w:val="bullet"/>
      <w:lvlText w:val="•"/>
      <w:lvlJc w:val="left"/>
      <w:pPr>
        <w:ind w:left="4629" w:hanging="360"/>
      </w:pPr>
      <w:rPr>
        <w:rFonts w:hint="default"/>
        <w:lang w:val="ru-RU" w:eastAsia="en-US" w:bidi="ar-SA"/>
      </w:rPr>
    </w:lvl>
    <w:lvl w:ilvl="5" w:tplc="777A08C2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6" w:tplc="6C1CD760">
      <w:numFmt w:val="bullet"/>
      <w:lvlText w:val="•"/>
      <w:lvlJc w:val="left"/>
      <w:pPr>
        <w:ind w:left="6454" w:hanging="360"/>
      </w:pPr>
      <w:rPr>
        <w:rFonts w:hint="default"/>
        <w:lang w:val="ru-RU" w:eastAsia="en-US" w:bidi="ar-SA"/>
      </w:rPr>
    </w:lvl>
    <w:lvl w:ilvl="7" w:tplc="1DC427B8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1660AB38">
      <w:numFmt w:val="bullet"/>
      <w:lvlText w:val="•"/>
      <w:lvlJc w:val="left"/>
      <w:pPr>
        <w:ind w:left="8279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37A3"/>
    <w:rsid w:val="000B4957"/>
    <w:rsid w:val="00223B3B"/>
    <w:rsid w:val="004D55FA"/>
    <w:rsid w:val="009237A3"/>
    <w:rsid w:val="00F3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0E65"/>
  <w15:docId w15:val="{19B4AB54-A623-47B0-A644-8D5CCEF5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0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72"/>
      <w:ind w:left="100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8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2025-01-14T09:11:00Z</dcterms:created>
  <dcterms:modified xsi:type="dcterms:W3CDTF">2025-01-26T15:34:00Z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