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1729240700"/>
        <w:docPartObj>
          <w:docPartGallery w:val="Table of Contents"/>
          <w:docPartUnique/>
        </w:docPartObj>
      </w:sdtPr>
      <w:sdtEndPr/>
      <w:sdtContent>
        <w:p w14:paraId="2B31E400" w14:textId="66695A1C" w:rsidR="00B649D9" w:rsidRDefault="00B649D9" w:rsidP="00B649D9">
          <w:pPr>
            <w:pStyle w:val="af6"/>
            <w:jc w:val="center"/>
            <w:rPr>
              <w:rFonts w:ascii="Times New Roman" w:hAnsi="Times New Roman" w:cs="Times New Roman"/>
            </w:rPr>
          </w:pPr>
          <w:r w:rsidRPr="00E25CB0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34048B73" w14:textId="77777777" w:rsidR="00B649D9" w:rsidRPr="00B649D9" w:rsidRDefault="00B649D9" w:rsidP="00B649D9">
          <w:pPr>
            <w:rPr>
              <w:lang w:eastAsia="en-US"/>
            </w:rPr>
          </w:pPr>
        </w:p>
        <w:p w14:paraId="2D667E24" w14:textId="77777777" w:rsidR="001979C0" w:rsidRPr="001979C0" w:rsidRDefault="00E50244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979C0">
            <w:rPr>
              <w:sz w:val="28"/>
              <w:szCs w:val="28"/>
            </w:rPr>
            <w:fldChar w:fldCharType="begin"/>
          </w:r>
          <w:r w:rsidR="00B649D9" w:rsidRPr="001979C0">
            <w:rPr>
              <w:sz w:val="28"/>
              <w:szCs w:val="28"/>
            </w:rPr>
            <w:instrText xml:space="preserve"> TOC \o "1-3" \h \z \u </w:instrText>
          </w:r>
          <w:r w:rsidRPr="001979C0">
            <w:rPr>
              <w:sz w:val="28"/>
              <w:szCs w:val="28"/>
            </w:rPr>
            <w:fldChar w:fldCharType="separate"/>
          </w:r>
          <w:hyperlink w:anchor="_Toc138020771" w:history="1">
            <w:r w:rsidR="001979C0" w:rsidRPr="001979C0">
              <w:rPr>
                <w:rStyle w:val="ad"/>
                <w:noProof/>
                <w:sz w:val="28"/>
                <w:szCs w:val="28"/>
              </w:rPr>
              <w:t>Введение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_Toc138020771 \h </w:instrText>
            </w:r>
            <w:r w:rsidRPr="001979C0">
              <w:rPr>
                <w:noProof/>
                <w:webHidden/>
                <w:sz w:val="28"/>
                <w:szCs w:val="28"/>
              </w:rPr>
            </w:r>
            <w:r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3</w:t>
            </w:r>
            <w:r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1E9DE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2" w:history="1">
            <w:r w:rsidR="001979C0" w:rsidRPr="001979C0">
              <w:rPr>
                <w:rStyle w:val="ad"/>
                <w:noProof/>
                <w:sz w:val="28"/>
                <w:szCs w:val="28"/>
              </w:rPr>
              <w:t>1 Теоретические основы рынка государственных ценных бумаг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_Toc138020772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5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5CBBA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3" w:history="1">
            <w:r w:rsidR="001979C0">
              <w:rPr>
                <w:rStyle w:val="ad"/>
                <w:noProof/>
                <w:sz w:val="28"/>
                <w:szCs w:val="28"/>
              </w:rPr>
              <w:t>1.1 П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онятие, виды государственных ценных бумаг, особенности их эмиссии и обращения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_Toc138020773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5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595DB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4" w:history="1">
            <w:r w:rsidR="001979C0">
              <w:rPr>
                <w:rStyle w:val="ad"/>
                <w:noProof/>
                <w:sz w:val="28"/>
                <w:szCs w:val="28"/>
              </w:rPr>
              <w:t>1.2 К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о</w:t>
            </w:r>
            <w:r w:rsidR="000C7669">
              <w:rPr>
                <w:rStyle w:val="ad"/>
                <w:noProof/>
                <w:sz w:val="28"/>
                <w:szCs w:val="28"/>
              </w:rPr>
              <w:t>нцепция государтсвенного долга Российской Ф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едерации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_Toc138020774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13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22D2FD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5" w:history="1">
            <w:r w:rsidR="001979C0">
              <w:rPr>
                <w:rStyle w:val="ad"/>
                <w:noProof/>
                <w:sz w:val="28"/>
                <w:szCs w:val="28"/>
              </w:rPr>
              <w:t>2 А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нализ российского рынка государственных ценных бумаг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_Toc138020775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27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052B5A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6" w:history="1">
            <w:r w:rsidR="001979C0">
              <w:rPr>
                <w:rStyle w:val="ad"/>
                <w:noProof/>
                <w:sz w:val="28"/>
                <w:szCs w:val="28"/>
              </w:rPr>
              <w:t>2.1 А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нализ федеральных государственных ценных бумаг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_Toc138020776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27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CBD56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7" w:history="1">
            <w:r w:rsidR="001979C0">
              <w:rPr>
                <w:rStyle w:val="ad"/>
                <w:noProof/>
                <w:sz w:val="28"/>
                <w:szCs w:val="28"/>
              </w:rPr>
              <w:t>2.2 А</w:t>
            </w:r>
            <w:r w:rsidR="000C7669">
              <w:rPr>
                <w:rStyle w:val="ad"/>
                <w:noProof/>
                <w:sz w:val="28"/>
                <w:szCs w:val="28"/>
              </w:rPr>
              <w:t>нализ ценных бумаг субъектов РФ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_Toc138020777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39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87B6F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8" w:history="1">
            <w:r w:rsidR="001979C0">
              <w:rPr>
                <w:rStyle w:val="ad"/>
                <w:noProof/>
                <w:sz w:val="28"/>
                <w:szCs w:val="28"/>
              </w:rPr>
              <w:t>2.3 А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нализ рынка муниципальных ценных бумаг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_Toc138020778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45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044071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79" w:history="1">
            <w:r w:rsidR="001979C0">
              <w:rPr>
                <w:rStyle w:val="ad"/>
                <w:noProof/>
                <w:sz w:val="28"/>
                <w:szCs w:val="28"/>
              </w:rPr>
              <w:t>3 П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роблемы и перспективы развития российского рынка государственных ценных бумаг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_Toc138020779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49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91734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80" w:history="1">
            <w:r w:rsidR="001979C0">
              <w:rPr>
                <w:rStyle w:val="ad"/>
                <w:noProof/>
                <w:sz w:val="28"/>
                <w:szCs w:val="28"/>
              </w:rPr>
              <w:t>З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аключение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_Toc138020780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65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6BEBCD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81" w:history="1">
            <w:r w:rsidR="001979C0">
              <w:rPr>
                <w:rStyle w:val="ad"/>
                <w:noProof/>
                <w:sz w:val="28"/>
                <w:szCs w:val="28"/>
              </w:rPr>
              <w:t>С</w:t>
            </w:r>
            <w:r w:rsidR="001979C0" w:rsidRPr="001979C0">
              <w:rPr>
                <w:rStyle w:val="ad"/>
                <w:noProof/>
                <w:sz w:val="28"/>
                <w:szCs w:val="28"/>
              </w:rPr>
              <w:t>писок использованных источников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_Toc138020781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69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1DD02" w14:textId="77777777" w:rsidR="001979C0" w:rsidRPr="001979C0" w:rsidRDefault="00AE4E41" w:rsidP="001979C0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8020782" w:history="1">
            <w:r w:rsidR="001979C0">
              <w:rPr>
                <w:rStyle w:val="ad"/>
                <w:noProof/>
                <w:sz w:val="28"/>
                <w:szCs w:val="28"/>
              </w:rPr>
              <w:t>Приложение А</w:t>
            </w:r>
            <w:r w:rsidR="001979C0" w:rsidRPr="001979C0">
              <w:rPr>
                <w:noProof/>
                <w:webHidden/>
                <w:sz w:val="28"/>
                <w:szCs w:val="28"/>
              </w:rPr>
              <w:tab/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begin"/>
            </w:r>
            <w:r w:rsidR="001979C0" w:rsidRPr="001979C0">
              <w:rPr>
                <w:noProof/>
                <w:webHidden/>
                <w:sz w:val="28"/>
                <w:szCs w:val="28"/>
              </w:rPr>
              <w:instrText xml:space="preserve"> PAGEREF _Toc138020782 \h </w:instrText>
            </w:r>
            <w:r w:rsidR="00E50244" w:rsidRPr="001979C0">
              <w:rPr>
                <w:noProof/>
                <w:webHidden/>
                <w:sz w:val="28"/>
                <w:szCs w:val="28"/>
              </w:rPr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730C">
              <w:rPr>
                <w:noProof/>
                <w:webHidden/>
                <w:sz w:val="28"/>
                <w:szCs w:val="28"/>
              </w:rPr>
              <w:t>75</w:t>
            </w:r>
            <w:r w:rsidR="00E50244" w:rsidRPr="001979C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85EC8" w14:textId="77777777" w:rsidR="001979C0" w:rsidRPr="00644264" w:rsidRDefault="00E50244" w:rsidP="00644264">
          <w:pPr>
            <w:spacing w:line="360" w:lineRule="auto"/>
            <w:jc w:val="both"/>
          </w:pPr>
          <w:r w:rsidRPr="001979C0">
            <w:rPr>
              <w:sz w:val="28"/>
              <w:szCs w:val="28"/>
            </w:rPr>
            <w:fldChar w:fldCharType="end"/>
          </w:r>
        </w:p>
      </w:sdtContent>
    </w:sdt>
    <w:p w14:paraId="57E8FC51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138020771"/>
    </w:p>
    <w:p w14:paraId="20248B37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34FD8403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7CBE486B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2AED2F34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68389AF4" w14:textId="77777777" w:rsidR="00644264" w:rsidRDefault="00644264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5E9D8444" w14:textId="77777777" w:rsidR="00644264" w:rsidRDefault="00644264">
      <w:pPr>
        <w:rPr>
          <w:rFonts w:eastAsiaTheme="majorEastAsia"/>
          <w:bCs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</w:rPr>
        <w:br w:type="page"/>
      </w:r>
    </w:p>
    <w:p w14:paraId="5BE807AF" w14:textId="77777777" w:rsidR="00B649D9" w:rsidRPr="00EC250D" w:rsidRDefault="00D20907" w:rsidP="00C667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EC250D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0"/>
    </w:p>
    <w:p w14:paraId="6F7B9C63" w14:textId="77777777" w:rsidR="00D20907" w:rsidRPr="003F27B5" w:rsidRDefault="00D20907" w:rsidP="00D20907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742B7DAB" w14:textId="77777777" w:rsidR="00D20907" w:rsidRPr="00072896" w:rsidRDefault="00D20907" w:rsidP="00D20907">
      <w:pPr>
        <w:tabs>
          <w:tab w:val="left" w:pos="843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 темы «</w:t>
      </w:r>
      <w:r w:rsidRPr="00072896">
        <w:rPr>
          <w:color w:val="000000" w:themeColor="text1"/>
          <w:sz w:val="28"/>
          <w:szCs w:val="28"/>
        </w:rPr>
        <w:t>Российский рын</w:t>
      </w:r>
      <w:r>
        <w:rPr>
          <w:color w:val="000000" w:themeColor="text1"/>
          <w:sz w:val="28"/>
          <w:szCs w:val="28"/>
        </w:rPr>
        <w:t>ок государственных ценных бумаг»</w:t>
      </w:r>
      <w:r w:rsidRPr="00072896">
        <w:rPr>
          <w:color w:val="000000" w:themeColor="text1"/>
          <w:sz w:val="28"/>
          <w:szCs w:val="28"/>
        </w:rPr>
        <w:t xml:space="preserve"> обусловлена несколькими факторами:</w:t>
      </w:r>
    </w:p>
    <w:p w14:paraId="43810521" w14:textId="77777777" w:rsidR="00D20907" w:rsidRPr="00072896" w:rsidRDefault="00D20907" w:rsidP="00D20907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Экономическое развитие: р</w:t>
      </w:r>
      <w:r w:rsidRPr="00072896">
        <w:rPr>
          <w:color w:val="000000" w:themeColor="text1"/>
          <w:sz w:val="28"/>
          <w:szCs w:val="28"/>
        </w:rPr>
        <w:t>оссийская экономика является одной из крупнейших в мире, и развитие рынка государственных ценных бумаг играет важную роль в обеспечении стабильности финансовой системы и привлечении инвестиций. Актуальность этой темы связана с постоянной необходимостью улучшения условий для инвестирования, развития ликвид</w:t>
      </w:r>
      <w:r w:rsidR="001979C0">
        <w:rPr>
          <w:color w:val="000000" w:themeColor="text1"/>
          <w:sz w:val="28"/>
          <w:szCs w:val="28"/>
        </w:rPr>
        <w:t>ности и привлекательности рынка;</w:t>
      </w:r>
    </w:p>
    <w:p w14:paraId="47AE8E24" w14:textId="77777777" w:rsidR="00D20907" w:rsidRPr="00072896" w:rsidRDefault="00D20907" w:rsidP="00D20907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Иностранные инвестиции: п</w:t>
      </w:r>
      <w:r w:rsidRPr="00072896">
        <w:rPr>
          <w:color w:val="000000" w:themeColor="text1"/>
          <w:sz w:val="28"/>
          <w:szCs w:val="28"/>
        </w:rPr>
        <w:t>ривлечение иностранных инвесторов является ключевым фактором для развития российского рынка государственных ценных бумаг. В условиях глобализации и открытости финансовых рынков актуальность этой темы заключается в необходимости создания благоприятной инвестиционной среды, предоставления привлекательных инвестиционных возможностей и обеспечения законодательной за</w:t>
      </w:r>
      <w:r w:rsidR="001979C0">
        <w:rPr>
          <w:color w:val="000000" w:themeColor="text1"/>
          <w:sz w:val="28"/>
          <w:szCs w:val="28"/>
        </w:rPr>
        <w:t>щиты для иностранных инвесторов;</w:t>
      </w:r>
    </w:p>
    <w:p w14:paraId="0E8FDC0A" w14:textId="77777777" w:rsidR="00D20907" w:rsidRPr="00072896" w:rsidRDefault="00D20907" w:rsidP="00D20907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72896">
        <w:rPr>
          <w:color w:val="000000" w:themeColor="text1"/>
          <w:sz w:val="28"/>
          <w:szCs w:val="28"/>
        </w:rPr>
        <w:t>Улучшение финансо</w:t>
      </w:r>
      <w:r>
        <w:rPr>
          <w:color w:val="000000" w:themeColor="text1"/>
          <w:sz w:val="28"/>
          <w:szCs w:val="28"/>
        </w:rPr>
        <w:t>вой системы: р</w:t>
      </w:r>
      <w:r w:rsidRPr="00072896">
        <w:rPr>
          <w:color w:val="000000" w:themeColor="text1"/>
          <w:sz w:val="28"/>
          <w:szCs w:val="28"/>
        </w:rPr>
        <w:t>азвитие российского рынка государственных ценных бумаг способствует развитию финансовой системы в целом. Важность этой темы проявляется в необходимости повышения эффективности операций, улучшения ликвидности, разнообразия инвестиционных возможностей и обеспечения стаб</w:t>
      </w:r>
      <w:r w:rsidR="001979C0">
        <w:rPr>
          <w:color w:val="000000" w:themeColor="text1"/>
          <w:sz w:val="28"/>
          <w:szCs w:val="28"/>
        </w:rPr>
        <w:t>ильности рынка;</w:t>
      </w:r>
    </w:p>
    <w:p w14:paraId="3FF920C2" w14:textId="77777777" w:rsidR="00D20907" w:rsidRPr="00072896" w:rsidRDefault="00D20907" w:rsidP="00D20907">
      <w:pPr>
        <w:numPr>
          <w:ilvl w:val="0"/>
          <w:numId w:val="1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72896">
        <w:rPr>
          <w:color w:val="000000" w:themeColor="text1"/>
          <w:sz w:val="28"/>
          <w:szCs w:val="28"/>
        </w:rPr>
        <w:t>Инновации и технологический прогресс: Внедрение инноваций и цифровых технологий в финансовый сектор является актуальным вопросом. Развитие российского рынка государственных ценных бумаг требует применения современных технологий для повышения эффективности, улучшения доступности и усиления п</w:t>
      </w:r>
      <w:r>
        <w:rPr>
          <w:color w:val="000000" w:themeColor="text1"/>
          <w:sz w:val="28"/>
          <w:szCs w:val="28"/>
        </w:rPr>
        <w:t>ривлекательности для инвесторов.</w:t>
      </w:r>
    </w:p>
    <w:p w14:paraId="536A83FF" w14:textId="77777777" w:rsidR="00D20907" w:rsidRPr="006C4737" w:rsidRDefault="00D20907" w:rsidP="00D209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7B5">
        <w:rPr>
          <w:color w:val="000000" w:themeColor="text1"/>
          <w:sz w:val="28"/>
          <w:szCs w:val="28"/>
        </w:rPr>
        <w:t>Предмет работы –</w:t>
      </w:r>
      <w:r w:rsidR="000C7669">
        <w:rPr>
          <w:color w:val="000000" w:themeColor="text1"/>
          <w:sz w:val="28"/>
          <w:szCs w:val="28"/>
        </w:rPr>
        <w:t xml:space="preserve"> виды и особенности обращения государственных ценных бумаг</w:t>
      </w:r>
      <w:r>
        <w:rPr>
          <w:color w:val="000000" w:themeColor="text1"/>
          <w:sz w:val="28"/>
          <w:szCs w:val="28"/>
        </w:rPr>
        <w:t>.</w:t>
      </w:r>
    </w:p>
    <w:p w14:paraId="3856BF74" w14:textId="77777777" w:rsidR="00D20907" w:rsidRDefault="00D20907" w:rsidP="00D209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7B5">
        <w:rPr>
          <w:color w:val="000000" w:themeColor="text1"/>
          <w:sz w:val="28"/>
          <w:szCs w:val="28"/>
        </w:rPr>
        <w:t xml:space="preserve">Объект работы – </w:t>
      </w:r>
      <w:r w:rsidR="000C7669">
        <w:rPr>
          <w:color w:val="000000" w:themeColor="text1"/>
          <w:sz w:val="28"/>
          <w:szCs w:val="28"/>
        </w:rPr>
        <w:t>р</w:t>
      </w:r>
      <w:r w:rsidRPr="00811AE1">
        <w:rPr>
          <w:color w:val="000000" w:themeColor="text1"/>
          <w:sz w:val="28"/>
          <w:szCs w:val="28"/>
        </w:rPr>
        <w:t>оссийский рыно</w:t>
      </w:r>
      <w:r w:rsidR="000C7669">
        <w:rPr>
          <w:color w:val="000000" w:themeColor="text1"/>
          <w:sz w:val="28"/>
          <w:szCs w:val="28"/>
        </w:rPr>
        <w:t>к государственных ценных бумаг.</w:t>
      </w:r>
    </w:p>
    <w:p w14:paraId="72FB9B9B" w14:textId="77777777" w:rsidR="001979C0" w:rsidRPr="001979C0" w:rsidRDefault="001979C0" w:rsidP="001979C0">
      <w:pPr>
        <w:tabs>
          <w:tab w:val="left" w:pos="843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7B5">
        <w:rPr>
          <w:color w:val="000000" w:themeColor="text1"/>
          <w:sz w:val="28"/>
          <w:szCs w:val="28"/>
        </w:rPr>
        <w:lastRenderedPageBreak/>
        <w:t xml:space="preserve">Цель работы – проанализировать </w:t>
      </w:r>
      <w:r w:rsidR="000C7669">
        <w:rPr>
          <w:color w:val="000000" w:themeColor="text1"/>
          <w:sz w:val="28"/>
          <w:szCs w:val="28"/>
        </w:rPr>
        <w:t>р</w:t>
      </w:r>
      <w:r w:rsidRPr="00811AE1">
        <w:rPr>
          <w:color w:val="000000" w:themeColor="text1"/>
          <w:sz w:val="28"/>
          <w:szCs w:val="28"/>
        </w:rPr>
        <w:t>оссийский рыно</w:t>
      </w:r>
      <w:r w:rsidR="000C7669">
        <w:rPr>
          <w:color w:val="000000" w:themeColor="text1"/>
          <w:sz w:val="28"/>
          <w:szCs w:val="28"/>
        </w:rPr>
        <w:t>к государственных ценных бумаг и рассмотреть проблемы и перспективы развития.</w:t>
      </w:r>
    </w:p>
    <w:p w14:paraId="398D7AAD" w14:textId="77777777" w:rsidR="00D20907" w:rsidRDefault="00D20907" w:rsidP="00D209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7B5">
        <w:rPr>
          <w:color w:val="000000" w:themeColor="text1"/>
          <w:sz w:val="28"/>
          <w:szCs w:val="28"/>
        </w:rPr>
        <w:t>Для достижения поставленной ц</w:t>
      </w:r>
      <w:r>
        <w:rPr>
          <w:color w:val="000000" w:themeColor="text1"/>
          <w:sz w:val="28"/>
          <w:szCs w:val="28"/>
        </w:rPr>
        <w:t>ели, необходимо</w:t>
      </w:r>
      <w:r w:rsidRPr="003F27B5">
        <w:rPr>
          <w:color w:val="000000" w:themeColor="text1"/>
          <w:sz w:val="28"/>
          <w:szCs w:val="28"/>
        </w:rPr>
        <w:t>:</w:t>
      </w:r>
    </w:p>
    <w:p w14:paraId="03A811F2" w14:textId="77777777" w:rsidR="00D20907" w:rsidRPr="00811AE1" w:rsidRDefault="00D20907" w:rsidP="00D20907">
      <w:pPr>
        <w:pStyle w:val="ab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AE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определение и виды государственных ценных бумаг;</w:t>
      </w:r>
    </w:p>
    <w:p w14:paraId="61C5353F" w14:textId="77777777" w:rsidR="000C7669" w:rsidRDefault="000C7669" w:rsidP="00D20907">
      <w:pPr>
        <w:pStyle w:val="ab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 концепцию государственного долга Российской Федерации;</w:t>
      </w:r>
    </w:p>
    <w:p w14:paraId="6598A4E6" w14:textId="77777777" w:rsidR="000C7669" w:rsidRDefault="00FF1D1A" w:rsidP="00D20907">
      <w:pPr>
        <w:pStyle w:val="ab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рынок государственных ценных бумаг Российской Федерации;</w:t>
      </w:r>
    </w:p>
    <w:p w14:paraId="2BFB04CA" w14:textId="77777777" w:rsidR="00FF1D1A" w:rsidRDefault="00FF1D1A" w:rsidP="00D20907">
      <w:pPr>
        <w:pStyle w:val="ab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рынок ценных бумаг субъектов Российской Федерации и муниципальный рынок ценных бумаг;</w:t>
      </w:r>
    </w:p>
    <w:p w14:paraId="57F38F2D" w14:textId="77777777" w:rsidR="000C7669" w:rsidRPr="00FF1D1A" w:rsidRDefault="00FF1D1A" w:rsidP="00FF1D1A">
      <w:pPr>
        <w:pStyle w:val="ab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выявить проблемы, связанные с государственными ценными бумаги и перспективы их развития.</w:t>
      </w:r>
    </w:p>
    <w:p w14:paraId="35C88A5D" w14:textId="77777777" w:rsidR="00C67FEA" w:rsidRDefault="000C7669" w:rsidP="00C67FEA">
      <w:pPr>
        <w:spacing w:line="360" w:lineRule="auto"/>
        <w:ind w:firstLine="709"/>
        <w:jc w:val="both"/>
        <w:rPr>
          <w:sz w:val="28"/>
          <w:szCs w:val="28"/>
        </w:rPr>
      </w:pPr>
      <w:r w:rsidRPr="000C7669">
        <w:rPr>
          <w:sz w:val="28"/>
          <w:szCs w:val="28"/>
        </w:rPr>
        <w:t>При рассмотрении поставлен</w:t>
      </w:r>
      <w:r w:rsidR="00C67FEA">
        <w:rPr>
          <w:sz w:val="28"/>
          <w:szCs w:val="28"/>
        </w:rPr>
        <w:t>ной цели и задач использовались методы экономического анализа показателей</w:t>
      </w:r>
      <w:r w:rsidR="007834BC">
        <w:rPr>
          <w:sz w:val="28"/>
          <w:szCs w:val="28"/>
        </w:rPr>
        <w:t xml:space="preserve"> по теме</w:t>
      </w:r>
      <w:r w:rsidR="00C67FEA">
        <w:rPr>
          <w:sz w:val="28"/>
          <w:szCs w:val="28"/>
        </w:rPr>
        <w:t>,</w:t>
      </w:r>
      <w:r w:rsidR="007834BC">
        <w:rPr>
          <w:sz w:val="28"/>
          <w:szCs w:val="28"/>
        </w:rPr>
        <w:t xml:space="preserve"> теоретические методы.</w:t>
      </w:r>
    </w:p>
    <w:p w14:paraId="6970E388" w14:textId="77777777" w:rsidR="00D20907" w:rsidRDefault="00D20907" w:rsidP="00D209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Практическая зн</w:t>
      </w:r>
      <w:r w:rsidR="000C1EA6">
        <w:rPr>
          <w:color w:val="000000" w:themeColor="text1"/>
          <w:sz w:val="28"/>
          <w:szCs w:val="28"/>
        </w:rPr>
        <w:t>ачимость заключается в анализе р</w:t>
      </w:r>
      <w:r>
        <w:rPr>
          <w:color w:val="000000" w:themeColor="text1"/>
          <w:sz w:val="28"/>
          <w:szCs w:val="28"/>
        </w:rPr>
        <w:t>оссийского рын</w:t>
      </w:r>
      <w:r w:rsidRPr="00811AE1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а</w:t>
      </w:r>
      <w:r w:rsidRPr="00811AE1">
        <w:rPr>
          <w:color w:val="000000" w:themeColor="text1"/>
          <w:sz w:val="28"/>
          <w:szCs w:val="28"/>
        </w:rPr>
        <w:t xml:space="preserve"> госуда</w:t>
      </w:r>
      <w:r>
        <w:rPr>
          <w:color w:val="000000" w:themeColor="text1"/>
          <w:sz w:val="28"/>
          <w:szCs w:val="28"/>
        </w:rPr>
        <w:t>рственных це</w:t>
      </w:r>
      <w:r w:rsidR="009E1A37">
        <w:rPr>
          <w:color w:val="000000" w:themeColor="text1"/>
          <w:sz w:val="28"/>
          <w:szCs w:val="28"/>
        </w:rPr>
        <w:t>нных бумаг</w:t>
      </w:r>
      <w:r>
        <w:rPr>
          <w:color w:val="000000" w:themeColor="text1"/>
          <w:sz w:val="28"/>
          <w:szCs w:val="28"/>
        </w:rPr>
        <w:t xml:space="preserve"> и использования результатов проделанной работы по мере изучения предмета.</w:t>
      </w:r>
    </w:p>
    <w:p w14:paraId="2AD5B8C4" w14:textId="77777777" w:rsidR="00D20907" w:rsidRDefault="00B302A0" w:rsidP="00B3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</w:t>
      </w:r>
      <w:r w:rsidR="00D20907" w:rsidRPr="00345AC7">
        <w:rPr>
          <w:sz w:val="28"/>
          <w:szCs w:val="28"/>
        </w:rPr>
        <w:t>абота состоит из вве</w:t>
      </w:r>
      <w:r w:rsidR="009E1A37">
        <w:rPr>
          <w:sz w:val="28"/>
          <w:szCs w:val="28"/>
        </w:rPr>
        <w:t>дения, трех глав, заключения</w:t>
      </w:r>
      <w:r>
        <w:rPr>
          <w:sz w:val="28"/>
          <w:szCs w:val="28"/>
        </w:rPr>
        <w:t xml:space="preserve"> и</w:t>
      </w:r>
      <w:r w:rsidR="00D20907">
        <w:rPr>
          <w:sz w:val="28"/>
          <w:szCs w:val="28"/>
        </w:rPr>
        <w:t xml:space="preserve"> списка литературы</w:t>
      </w:r>
      <w:r>
        <w:rPr>
          <w:sz w:val="28"/>
          <w:szCs w:val="28"/>
        </w:rPr>
        <w:t>.</w:t>
      </w:r>
    </w:p>
    <w:p w14:paraId="641E014E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6E24FFD3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1C773079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238B5E50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34ADDA10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C9357BB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0B995217" w14:textId="77777777" w:rsidR="00D20907" w:rsidRDefault="00D20907" w:rsidP="00201557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sectPr w:rsidR="00D20907" w:rsidSect="002568B5">
      <w:footerReference w:type="defaul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BD58" w14:textId="77777777" w:rsidR="00AE4E41" w:rsidRDefault="00AE4E41" w:rsidP="00D20907">
      <w:r>
        <w:separator/>
      </w:r>
    </w:p>
  </w:endnote>
  <w:endnote w:type="continuationSeparator" w:id="0">
    <w:p w14:paraId="32C01615" w14:textId="77777777" w:rsidR="00AE4E41" w:rsidRDefault="00AE4E41" w:rsidP="00D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89641"/>
      <w:docPartObj>
        <w:docPartGallery w:val="Page Numbers (Bottom of Page)"/>
        <w:docPartUnique/>
      </w:docPartObj>
    </w:sdtPr>
    <w:sdtEndPr/>
    <w:sdtContent>
      <w:p w14:paraId="66859577" w14:textId="77777777" w:rsidR="0018171F" w:rsidRDefault="00666BA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29F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2DC3D145" w14:textId="77777777" w:rsidR="00414B91" w:rsidRDefault="00414B9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0569" w14:textId="77777777" w:rsidR="00AE4E41" w:rsidRDefault="00AE4E41" w:rsidP="00D20907">
      <w:r>
        <w:separator/>
      </w:r>
    </w:p>
  </w:footnote>
  <w:footnote w:type="continuationSeparator" w:id="0">
    <w:p w14:paraId="24548F90" w14:textId="77777777" w:rsidR="00AE4E41" w:rsidRDefault="00AE4E41" w:rsidP="00D2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07F"/>
    <w:multiLevelType w:val="hybridMultilevel"/>
    <w:tmpl w:val="6A7EC94C"/>
    <w:lvl w:ilvl="0" w:tplc="30DCF24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16A31"/>
    <w:multiLevelType w:val="multilevel"/>
    <w:tmpl w:val="A5C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7F13"/>
    <w:multiLevelType w:val="multilevel"/>
    <w:tmpl w:val="AC7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E78C7"/>
    <w:multiLevelType w:val="multilevel"/>
    <w:tmpl w:val="AE62568E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86D26"/>
    <w:multiLevelType w:val="multilevel"/>
    <w:tmpl w:val="4630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7240C"/>
    <w:multiLevelType w:val="multilevel"/>
    <w:tmpl w:val="77A8E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F510E"/>
    <w:multiLevelType w:val="multilevel"/>
    <w:tmpl w:val="A1329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5202D"/>
    <w:multiLevelType w:val="hybridMultilevel"/>
    <w:tmpl w:val="45706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AF38FB"/>
    <w:multiLevelType w:val="multilevel"/>
    <w:tmpl w:val="4968A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13308"/>
    <w:multiLevelType w:val="multilevel"/>
    <w:tmpl w:val="D406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C0CCC"/>
    <w:multiLevelType w:val="hybridMultilevel"/>
    <w:tmpl w:val="45706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537A17"/>
    <w:multiLevelType w:val="multilevel"/>
    <w:tmpl w:val="15D2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900"/>
    <w:rsid w:val="00020D29"/>
    <w:rsid w:val="00021AD5"/>
    <w:rsid w:val="000435C3"/>
    <w:rsid w:val="00060009"/>
    <w:rsid w:val="000C1EA6"/>
    <w:rsid w:val="000C7669"/>
    <w:rsid w:val="000D7103"/>
    <w:rsid w:val="000E2DF0"/>
    <w:rsid w:val="00124BB4"/>
    <w:rsid w:val="00151646"/>
    <w:rsid w:val="00170E36"/>
    <w:rsid w:val="0017218F"/>
    <w:rsid w:val="0018171F"/>
    <w:rsid w:val="00185A6D"/>
    <w:rsid w:val="001979C0"/>
    <w:rsid w:val="001F3E7E"/>
    <w:rsid w:val="00201557"/>
    <w:rsid w:val="00225C3D"/>
    <w:rsid w:val="0025029F"/>
    <w:rsid w:val="0025520F"/>
    <w:rsid w:val="002568B5"/>
    <w:rsid w:val="002A6109"/>
    <w:rsid w:val="002C2DD7"/>
    <w:rsid w:val="002E70A9"/>
    <w:rsid w:val="0031019C"/>
    <w:rsid w:val="00360E22"/>
    <w:rsid w:val="003907BA"/>
    <w:rsid w:val="003A5267"/>
    <w:rsid w:val="003C17D8"/>
    <w:rsid w:val="004004A6"/>
    <w:rsid w:val="00414B91"/>
    <w:rsid w:val="004215A5"/>
    <w:rsid w:val="004337D4"/>
    <w:rsid w:val="004822F1"/>
    <w:rsid w:val="004B4BC1"/>
    <w:rsid w:val="004C6557"/>
    <w:rsid w:val="004D2EC4"/>
    <w:rsid w:val="00501860"/>
    <w:rsid w:val="00546900"/>
    <w:rsid w:val="0057644B"/>
    <w:rsid w:val="0058159E"/>
    <w:rsid w:val="0063659A"/>
    <w:rsid w:val="00644264"/>
    <w:rsid w:val="00666BA2"/>
    <w:rsid w:val="00674491"/>
    <w:rsid w:val="006901DF"/>
    <w:rsid w:val="006C451A"/>
    <w:rsid w:val="006C6BA7"/>
    <w:rsid w:val="00730C36"/>
    <w:rsid w:val="007834BC"/>
    <w:rsid w:val="007B55A7"/>
    <w:rsid w:val="007C31E6"/>
    <w:rsid w:val="007C660F"/>
    <w:rsid w:val="007F60B7"/>
    <w:rsid w:val="008420E0"/>
    <w:rsid w:val="008465BF"/>
    <w:rsid w:val="008830F0"/>
    <w:rsid w:val="008F1265"/>
    <w:rsid w:val="00905576"/>
    <w:rsid w:val="00916E67"/>
    <w:rsid w:val="00920CBA"/>
    <w:rsid w:val="00943B97"/>
    <w:rsid w:val="00961B1A"/>
    <w:rsid w:val="009742C8"/>
    <w:rsid w:val="00987662"/>
    <w:rsid w:val="009917DA"/>
    <w:rsid w:val="009A0539"/>
    <w:rsid w:val="009B0DBC"/>
    <w:rsid w:val="009E1A37"/>
    <w:rsid w:val="009F228A"/>
    <w:rsid w:val="00A65CCF"/>
    <w:rsid w:val="00A6667D"/>
    <w:rsid w:val="00A94964"/>
    <w:rsid w:val="00AE4E41"/>
    <w:rsid w:val="00AF5C39"/>
    <w:rsid w:val="00B252A5"/>
    <w:rsid w:val="00B302A0"/>
    <w:rsid w:val="00B3730C"/>
    <w:rsid w:val="00B649D9"/>
    <w:rsid w:val="00B7414D"/>
    <w:rsid w:val="00B75B87"/>
    <w:rsid w:val="00BB20DD"/>
    <w:rsid w:val="00BC5835"/>
    <w:rsid w:val="00BE0872"/>
    <w:rsid w:val="00C32A8B"/>
    <w:rsid w:val="00C47682"/>
    <w:rsid w:val="00C6678A"/>
    <w:rsid w:val="00C67E98"/>
    <w:rsid w:val="00C67FEA"/>
    <w:rsid w:val="00CD3A27"/>
    <w:rsid w:val="00D02EA0"/>
    <w:rsid w:val="00D20907"/>
    <w:rsid w:val="00D61CED"/>
    <w:rsid w:val="00D65D8C"/>
    <w:rsid w:val="00E1393F"/>
    <w:rsid w:val="00E17365"/>
    <w:rsid w:val="00E23AD8"/>
    <w:rsid w:val="00E25CB0"/>
    <w:rsid w:val="00E50244"/>
    <w:rsid w:val="00E7292A"/>
    <w:rsid w:val="00E76DFE"/>
    <w:rsid w:val="00E842A6"/>
    <w:rsid w:val="00EA1F50"/>
    <w:rsid w:val="00EA3755"/>
    <w:rsid w:val="00EA5FB7"/>
    <w:rsid w:val="00EC250D"/>
    <w:rsid w:val="00EC3312"/>
    <w:rsid w:val="00ED60CE"/>
    <w:rsid w:val="00F01904"/>
    <w:rsid w:val="00F516EC"/>
    <w:rsid w:val="00F55D8D"/>
    <w:rsid w:val="00F634C1"/>
    <w:rsid w:val="00F71351"/>
    <w:rsid w:val="00F7782F"/>
    <w:rsid w:val="00FA76BB"/>
    <w:rsid w:val="00FB6ED6"/>
    <w:rsid w:val="00FC63CF"/>
    <w:rsid w:val="00FD3EA1"/>
    <w:rsid w:val="00FD454A"/>
    <w:rsid w:val="00FD76A5"/>
    <w:rsid w:val="00FE1AAF"/>
    <w:rsid w:val="00FE2333"/>
    <w:rsid w:val="00FF1D1A"/>
    <w:rsid w:val="00FF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D7614"/>
  <w15:docId w15:val="{83B9E43F-4820-474F-B1EA-DC889DC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9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209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0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qFormat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B543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styleId="a3">
    <w:name w:val="Title"/>
    <w:basedOn w:val="a"/>
    <w:next w:val="a4"/>
    <w:qFormat/>
    <w:rsid w:val="00E7292A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E7292A"/>
    <w:pPr>
      <w:spacing w:after="140" w:line="276" w:lineRule="auto"/>
    </w:pPr>
  </w:style>
  <w:style w:type="paragraph" w:styleId="a5">
    <w:name w:val="List"/>
    <w:basedOn w:val="a4"/>
    <w:rsid w:val="00E7292A"/>
    <w:rPr>
      <w:rFonts w:cs="Noto Sans Devanagari"/>
    </w:rPr>
  </w:style>
  <w:style w:type="paragraph" w:styleId="a6">
    <w:name w:val="caption"/>
    <w:basedOn w:val="a"/>
    <w:qFormat/>
    <w:rsid w:val="00E7292A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E7292A"/>
    <w:pPr>
      <w:suppressLineNumbers/>
    </w:pPr>
    <w:rPr>
      <w:rFonts w:cs="Noto Sans Devanagari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jc w:val="center"/>
    </w:pPr>
    <w:rPr>
      <w:rFonts w:cstheme="minorBidi"/>
      <w:sz w:val="26"/>
      <w:szCs w:val="26"/>
      <w:lang w:eastAsia="en-US"/>
    </w:rPr>
  </w:style>
  <w:style w:type="paragraph" w:customStyle="1" w:styleId="a8">
    <w:name w:val="Содержимое врезки"/>
    <w:basedOn w:val="a"/>
    <w:qFormat/>
    <w:rsid w:val="00E7292A"/>
  </w:style>
  <w:style w:type="paragraph" w:styleId="a9">
    <w:name w:val="Balloon Text"/>
    <w:basedOn w:val="a"/>
    <w:link w:val="aa"/>
    <w:uiPriority w:val="99"/>
    <w:semiHidden/>
    <w:unhideWhenUsed/>
    <w:rsid w:val="002015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55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1557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1"/>
    <w:basedOn w:val="a"/>
    <w:next w:val="a4"/>
    <w:qFormat/>
    <w:rsid w:val="00D20907"/>
    <w:pPr>
      <w:keepNext/>
      <w:suppressAutoHyphens/>
      <w:spacing w:before="240" w:after="120" w:line="259" w:lineRule="auto"/>
    </w:pPr>
    <w:rPr>
      <w:rFonts w:ascii="PT Astra Serif" w:eastAsia="Tahoma" w:hAnsi="PT Astra Serif" w:cs="FreeSans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D20907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209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0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0907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ac">
    <w:name w:val="Normal (Web)"/>
    <w:basedOn w:val="a"/>
    <w:uiPriority w:val="99"/>
    <w:unhideWhenUsed/>
    <w:rsid w:val="00D2090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09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09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09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209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fecea8bd">
    <w:name w:val="cfecea8bd"/>
    <w:basedOn w:val="a0"/>
    <w:rsid w:val="00D20907"/>
  </w:style>
  <w:style w:type="character" w:styleId="ad">
    <w:name w:val="Hyperlink"/>
    <w:basedOn w:val="a0"/>
    <w:uiPriority w:val="99"/>
    <w:unhideWhenUsed/>
    <w:rsid w:val="00D20907"/>
    <w:rPr>
      <w:color w:val="0000FF"/>
      <w:u w:val="single"/>
    </w:rPr>
  </w:style>
  <w:style w:type="character" w:customStyle="1" w:styleId="r856b6ac9">
    <w:name w:val="r856b6ac9"/>
    <w:basedOn w:val="a0"/>
    <w:rsid w:val="00D20907"/>
  </w:style>
  <w:style w:type="paragraph" w:styleId="ae">
    <w:name w:val="footnote text"/>
    <w:basedOn w:val="a"/>
    <w:link w:val="af"/>
    <w:uiPriority w:val="99"/>
    <w:semiHidden/>
    <w:unhideWhenUsed/>
    <w:qFormat/>
    <w:rsid w:val="00D20907"/>
    <w:pPr>
      <w:suppressAutoHyphens/>
    </w:pPr>
    <w:rPr>
      <w:sz w:val="20"/>
      <w:szCs w:val="20"/>
      <w:lang w:val="zh-CN"/>
    </w:rPr>
  </w:style>
  <w:style w:type="character" w:customStyle="1" w:styleId="af">
    <w:name w:val="Текст сноски Знак"/>
    <w:basedOn w:val="a0"/>
    <w:link w:val="ae"/>
    <w:uiPriority w:val="99"/>
    <w:semiHidden/>
    <w:rsid w:val="00D20907"/>
    <w:rPr>
      <w:rFonts w:ascii="Times New Roman" w:eastAsia="Times New Roman" w:hAnsi="Times New Roman" w:cs="Times New Roman"/>
      <w:szCs w:val="20"/>
      <w:lang w:val="zh-CN" w:eastAsia="ru-RU"/>
    </w:rPr>
  </w:style>
  <w:style w:type="character" w:styleId="af0">
    <w:name w:val="footnote reference"/>
    <w:basedOn w:val="a0"/>
    <w:uiPriority w:val="99"/>
    <w:semiHidden/>
    <w:unhideWhenUsed/>
    <w:rsid w:val="00D20907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D209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20907"/>
    <w:rPr>
      <w:sz w:val="22"/>
    </w:rPr>
  </w:style>
  <w:style w:type="paragraph" w:styleId="af3">
    <w:name w:val="footer"/>
    <w:basedOn w:val="a"/>
    <w:link w:val="af4"/>
    <w:uiPriority w:val="99"/>
    <w:unhideWhenUsed/>
    <w:rsid w:val="00D209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20907"/>
    <w:rPr>
      <w:sz w:val="22"/>
    </w:rPr>
  </w:style>
  <w:style w:type="table" w:styleId="af5">
    <w:name w:val="Table Grid"/>
    <w:basedOn w:val="a1"/>
    <w:uiPriority w:val="59"/>
    <w:rsid w:val="00D20907"/>
    <w:pPr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TOC Heading"/>
    <w:basedOn w:val="1"/>
    <w:next w:val="a"/>
    <w:uiPriority w:val="39"/>
    <w:unhideWhenUsed/>
    <w:qFormat/>
    <w:rsid w:val="00B649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1979C0"/>
    <w:pPr>
      <w:tabs>
        <w:tab w:val="right" w:leader="dot" w:pos="9344"/>
      </w:tabs>
      <w:spacing w:line="360" w:lineRule="auto"/>
      <w:jc w:val="both"/>
    </w:pPr>
  </w:style>
  <w:style w:type="character" w:styleId="af7">
    <w:name w:val="Strong"/>
    <w:basedOn w:val="a0"/>
    <w:uiPriority w:val="22"/>
    <w:qFormat/>
    <w:rsid w:val="00ED6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1C2D-E94B-4545-92BC-CEFAB55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27</cp:revision>
  <dcterms:created xsi:type="dcterms:W3CDTF">2023-06-12T13:04:00Z</dcterms:created>
  <dcterms:modified xsi:type="dcterms:W3CDTF">2025-01-23T08:47:00Z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