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85205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ECDCA7" w14:textId="5152E497" w:rsidR="00B94A80" w:rsidRPr="00920E35" w:rsidRDefault="00920E35">
          <w:pPr>
            <w:pStyle w:val="a9"/>
            <w:rPr>
              <w:sz w:val="32"/>
            </w:rPr>
          </w:pPr>
          <w:r w:rsidRPr="00920E35">
            <w:rPr>
              <w:sz w:val="32"/>
            </w:rPr>
            <w:t xml:space="preserve">СОДЕРЖАНИЕ </w:t>
          </w:r>
        </w:p>
        <w:p w14:paraId="66D9C7DC" w14:textId="77777777" w:rsidR="00920E35" w:rsidRPr="00920E35" w:rsidRDefault="00920E35" w:rsidP="00920E35"/>
        <w:p w14:paraId="4BD530EB" w14:textId="77777777" w:rsidR="008B76AD" w:rsidRPr="00920E35" w:rsidRDefault="00B94A80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r w:rsidRPr="00920E35">
            <w:rPr>
              <w:sz w:val="28"/>
              <w:szCs w:val="28"/>
            </w:rPr>
            <w:fldChar w:fldCharType="begin"/>
          </w:r>
          <w:r w:rsidRPr="00920E35">
            <w:rPr>
              <w:sz w:val="28"/>
              <w:szCs w:val="28"/>
            </w:rPr>
            <w:instrText xml:space="preserve"> TOC \o "1-3" \h \z \u </w:instrText>
          </w:r>
          <w:r w:rsidRPr="00920E35">
            <w:rPr>
              <w:sz w:val="28"/>
              <w:szCs w:val="28"/>
            </w:rPr>
            <w:fldChar w:fldCharType="separate"/>
          </w:r>
          <w:hyperlink w:anchor="_Toc119342534" w:history="1">
            <w:r w:rsidR="008B76AD" w:rsidRPr="00920E35">
              <w:rPr>
                <w:rStyle w:val="af0"/>
                <w:sz w:val="28"/>
                <w:szCs w:val="28"/>
              </w:rPr>
              <w:t>Введение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_Toc119342534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3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CC273B9" w14:textId="77777777" w:rsidR="008B76AD" w:rsidRPr="00920E35" w:rsidRDefault="008F0F6A">
          <w:pPr>
            <w:pStyle w:val="12"/>
            <w:tabs>
              <w:tab w:val="left" w:pos="440"/>
            </w:tabs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35" w:history="1">
            <w:r w:rsidR="008B76AD" w:rsidRPr="00920E35">
              <w:rPr>
                <w:rStyle w:val="af0"/>
                <w:sz w:val="28"/>
                <w:szCs w:val="28"/>
              </w:rPr>
              <w:t>1.</w:t>
            </w:r>
            <w:r w:rsidR="008B76AD" w:rsidRPr="00920E35">
              <w:rPr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 w:rsidR="008B76AD" w:rsidRPr="00920E35">
              <w:rPr>
                <w:rStyle w:val="af0"/>
                <w:sz w:val="28"/>
                <w:szCs w:val="28"/>
              </w:rPr>
              <w:t>Теоретические аспекты предоставления финансовых услуг в сфере ВЭД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_Toc119342535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7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ADE5D91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36" w:history="1">
            <w:r w:rsidR="008B76AD" w:rsidRPr="00920E35">
              <w:rPr>
                <w:rStyle w:val="af0"/>
                <w:sz w:val="28"/>
                <w:szCs w:val="28"/>
              </w:rPr>
              <w:t>1.1 Понятие и роль финансовых услуг в системе внешнеэкономической деятельности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_Toc119342536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7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FB869F5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37" w:history="1">
            <w:r w:rsidR="008B76AD" w:rsidRPr="00920E35">
              <w:rPr>
                <w:rStyle w:val="af0"/>
                <w:sz w:val="28"/>
                <w:szCs w:val="28"/>
              </w:rPr>
              <w:t xml:space="preserve">1.2 </w:t>
            </w:r>
            <w:r w:rsidR="008B76AD" w:rsidRPr="00920E35">
              <w:rPr>
                <w:rStyle w:val="af0"/>
                <w:rFonts w:eastAsia="DengXian Light"/>
                <w:sz w:val="28"/>
                <w:szCs w:val="28"/>
              </w:rPr>
              <w:t>Эволюция системы валютного контроля и валютного регулирования в РФ.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_Toc119342537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11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0C58D29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38" w:history="1">
            <w:r w:rsidR="008B76AD" w:rsidRPr="00920E35">
              <w:rPr>
                <w:rStyle w:val="af0"/>
                <w:rFonts w:eastAsia="DengXian Light"/>
                <w:sz w:val="28"/>
                <w:szCs w:val="28"/>
              </w:rPr>
              <w:t>1.3 Классификация рисков внешнеторговых валютных операций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_Toc119342538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22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5C5175E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39" w:history="1">
            <w:r w:rsidR="008B76AD" w:rsidRPr="00920E35">
              <w:rPr>
                <w:rStyle w:val="af0"/>
                <w:sz w:val="28"/>
                <w:szCs w:val="28"/>
              </w:rPr>
              <w:t>2. Анализ финансово-экономической деятельности</w:t>
            </w:r>
            <w:r w:rsidR="00920E35" w:rsidRPr="00920E35">
              <w:rPr>
                <w:rStyle w:val="af0"/>
                <w:sz w:val="28"/>
                <w:szCs w:val="28"/>
              </w:rPr>
              <w:t xml:space="preserve"> АО «Точка</w:t>
            </w:r>
            <w:r w:rsidR="008B76AD" w:rsidRPr="00920E35">
              <w:rPr>
                <w:rStyle w:val="af0"/>
                <w:sz w:val="28"/>
                <w:szCs w:val="28"/>
              </w:rPr>
              <w:t>»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_Toc119342539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31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51E30D6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0" w:history="1">
            <w:r w:rsidR="008B76AD" w:rsidRPr="00920E35">
              <w:rPr>
                <w:rStyle w:val="af0"/>
                <w:sz w:val="28"/>
                <w:szCs w:val="28"/>
              </w:rPr>
              <w:t>2.1</w:t>
            </w:r>
            <w:r w:rsidR="008B76AD" w:rsidRPr="00920E35">
              <w:rPr>
                <w:rStyle w:val="af0"/>
                <w:rFonts w:eastAsiaTheme="majorEastAsia" w:cstheme="majorBidi"/>
                <w:sz w:val="28"/>
                <w:szCs w:val="28"/>
              </w:rPr>
              <w:t xml:space="preserve"> Характеристика и анализ финансово – экономической деятельности</w:t>
            </w:r>
            <w:r w:rsidR="00920E35" w:rsidRPr="00920E35">
              <w:rPr>
                <w:rStyle w:val="af0"/>
                <w:rFonts w:eastAsiaTheme="majorEastAsia" w:cstheme="majorBidi"/>
                <w:sz w:val="28"/>
                <w:szCs w:val="28"/>
              </w:rPr>
              <w:t xml:space="preserve"> АО «Точка</w:t>
            </w:r>
            <w:r w:rsidR="008B76AD" w:rsidRPr="00920E35">
              <w:rPr>
                <w:rStyle w:val="af0"/>
                <w:rFonts w:eastAsiaTheme="majorEastAsia" w:cstheme="majorBidi"/>
                <w:sz w:val="28"/>
                <w:szCs w:val="28"/>
              </w:rPr>
              <w:t>»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_Toc119342540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31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244762E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1" w:history="1">
            <w:r w:rsidR="008B76AD" w:rsidRPr="00920E35">
              <w:rPr>
                <w:rStyle w:val="af0"/>
                <w:rFonts w:eastAsiaTheme="minorHAnsi"/>
                <w:sz w:val="28"/>
                <w:szCs w:val="28"/>
                <w:lang w:eastAsia="en-US"/>
              </w:rPr>
              <w:t>2.2. Технология предоставления услуги прохождения валютного контроля в отношении клиентов</w:t>
            </w:r>
            <w:r w:rsidR="00920E35">
              <w:rPr>
                <w:rStyle w:val="af0"/>
                <w:rFonts w:eastAsiaTheme="minorHAnsi"/>
                <w:sz w:val="28"/>
                <w:szCs w:val="28"/>
                <w:lang w:eastAsia="en-US"/>
              </w:rPr>
              <w:t xml:space="preserve"> АО «Точка</w:t>
            </w:r>
            <w:r w:rsidR="008B76AD" w:rsidRPr="00920E35">
              <w:rPr>
                <w:rStyle w:val="af0"/>
                <w:rFonts w:eastAsiaTheme="minorHAnsi"/>
                <w:sz w:val="28"/>
                <w:szCs w:val="28"/>
                <w:lang w:eastAsia="en-US"/>
              </w:rPr>
              <w:t>»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_Toc119342541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46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776A6E4" w14:textId="77777777" w:rsidR="008B76AD" w:rsidRPr="00920E35" w:rsidRDefault="008F0F6A" w:rsidP="008B76AD">
          <w:pPr>
            <w:pStyle w:val="21"/>
            <w:ind w:left="0"/>
            <w:rPr>
              <w:rFonts w:asciiTheme="minorHAnsi" w:eastAsiaTheme="minorEastAsia" w:hAnsiTheme="minorHAnsi" w:cstheme="minorBidi"/>
              <w:noProof/>
            </w:rPr>
          </w:pPr>
          <w:hyperlink w:anchor="_Toc119342542" w:history="1">
            <w:r w:rsidR="008B76AD" w:rsidRPr="00920E35">
              <w:rPr>
                <w:rStyle w:val="af0"/>
                <w:rFonts w:eastAsiaTheme="minorHAnsi"/>
                <w:noProof/>
                <w:lang w:eastAsia="en-US"/>
              </w:rPr>
              <w:t xml:space="preserve">2.3 </w:t>
            </w:r>
            <w:r w:rsidR="008B76AD" w:rsidRPr="00920E35">
              <w:rPr>
                <w:rStyle w:val="af0"/>
                <w:noProof/>
              </w:rPr>
              <w:t>Экономическая оценка итогов валютного контроля клиентов</w:t>
            </w:r>
            <w:r w:rsidR="00920E35" w:rsidRPr="00920E35">
              <w:rPr>
                <w:rStyle w:val="af0"/>
                <w:noProof/>
              </w:rPr>
              <w:t xml:space="preserve"> АО «Точка</w:t>
            </w:r>
            <w:r w:rsidR="008B76AD" w:rsidRPr="00920E35">
              <w:rPr>
                <w:rStyle w:val="af0"/>
                <w:noProof/>
              </w:rPr>
              <w:t>»</w:t>
            </w:r>
            <w:r w:rsidR="008B76AD" w:rsidRPr="00920E35">
              <w:rPr>
                <w:noProof/>
                <w:webHidden/>
              </w:rPr>
              <w:tab/>
            </w:r>
            <w:r w:rsidR="008B76AD" w:rsidRPr="00920E35">
              <w:rPr>
                <w:noProof/>
                <w:webHidden/>
              </w:rPr>
              <w:fldChar w:fldCharType="begin"/>
            </w:r>
            <w:r w:rsidR="008B76AD" w:rsidRPr="00920E35">
              <w:rPr>
                <w:noProof/>
                <w:webHidden/>
              </w:rPr>
              <w:instrText xml:space="preserve"> PAGEREF _Toc119342542 \h </w:instrText>
            </w:r>
            <w:r w:rsidR="008B76AD" w:rsidRPr="00920E35">
              <w:rPr>
                <w:noProof/>
                <w:webHidden/>
              </w:rPr>
            </w:r>
            <w:r w:rsidR="008B76AD" w:rsidRPr="00920E35">
              <w:rPr>
                <w:noProof/>
                <w:webHidden/>
              </w:rPr>
              <w:fldChar w:fldCharType="separate"/>
            </w:r>
            <w:r w:rsidR="008B76AD" w:rsidRPr="00920E35">
              <w:rPr>
                <w:noProof/>
                <w:webHidden/>
              </w:rPr>
              <w:t>58</w:t>
            </w:r>
            <w:r w:rsidR="008B76AD" w:rsidRPr="00920E35">
              <w:rPr>
                <w:noProof/>
                <w:webHidden/>
              </w:rPr>
              <w:fldChar w:fldCharType="end"/>
            </w:r>
          </w:hyperlink>
        </w:p>
        <w:p w14:paraId="0DED4D0D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3" w:history="1">
            <w:r w:rsidR="008B76AD" w:rsidRPr="00920E35">
              <w:rPr>
                <w:rStyle w:val="af0"/>
                <w:sz w:val="28"/>
                <w:szCs w:val="28"/>
              </w:rPr>
              <w:t xml:space="preserve">3. Пути повышения эффективности деятельности  </w:t>
            </w:r>
            <w:r w:rsidR="00920E35" w:rsidRPr="00920E35">
              <w:rPr>
                <w:rStyle w:val="af0"/>
                <w:sz w:val="28"/>
                <w:szCs w:val="28"/>
              </w:rPr>
              <w:t>АО «Точка</w:t>
            </w:r>
            <w:r w:rsidR="008B76AD" w:rsidRPr="00920E35">
              <w:rPr>
                <w:rStyle w:val="af0"/>
                <w:sz w:val="28"/>
                <w:szCs w:val="28"/>
              </w:rPr>
              <w:t>» по предоставлению финансовых услуг в области внешнеэкономической деятельности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_Toc119342543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78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3B1A57E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4" w:history="1">
            <w:r w:rsidR="00920E35" w:rsidRPr="00920E35">
              <w:rPr>
                <w:rStyle w:val="af0"/>
                <w:sz w:val="28"/>
                <w:szCs w:val="28"/>
              </w:rPr>
              <w:t>3.1 Проблемы валютного контроля при работе клиентов АО «Точка» с внешнеторговыми контрактами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_Toc119342544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78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126AE56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5" w:history="1">
            <w:r w:rsidR="008B76AD" w:rsidRPr="00920E35">
              <w:rPr>
                <w:rStyle w:val="af0"/>
                <w:sz w:val="28"/>
                <w:szCs w:val="28"/>
              </w:rPr>
              <w:t>3</w:t>
            </w:r>
            <w:r w:rsidR="00920E35" w:rsidRPr="00920E35">
              <w:rPr>
                <w:rStyle w:val="af0"/>
                <w:sz w:val="28"/>
                <w:szCs w:val="28"/>
              </w:rPr>
              <w:t>.2 Перспективные методы валютного контроля</w:t>
            </w:r>
            <w:r w:rsidR="00920E35">
              <w:rPr>
                <w:rStyle w:val="af0"/>
                <w:sz w:val="28"/>
                <w:szCs w:val="28"/>
              </w:rPr>
              <w:t xml:space="preserve"> АО «Точка</w:t>
            </w:r>
            <w:r w:rsidR="008B76AD" w:rsidRPr="00920E35">
              <w:rPr>
                <w:rStyle w:val="af0"/>
                <w:sz w:val="28"/>
                <w:szCs w:val="28"/>
              </w:rPr>
              <w:t>»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_Toc119342545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90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3FAF1BC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6" w:history="1">
            <w:r w:rsidR="00920E35" w:rsidRPr="00920E35">
              <w:rPr>
                <w:rStyle w:val="af0"/>
                <w:sz w:val="28"/>
                <w:szCs w:val="28"/>
              </w:rPr>
              <w:t>3.3 Экономическое обоснование и разработка мероприятий, направленных на рост эффективности АО «Точка» по предоставлению финансовых услуг в сфере ВЭД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_Toc119342546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96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D1880A1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7" w:history="1">
            <w:r w:rsidR="00920E35" w:rsidRPr="00920E35">
              <w:rPr>
                <w:rStyle w:val="af0"/>
                <w:sz w:val="28"/>
                <w:szCs w:val="28"/>
              </w:rPr>
              <w:t>Заключение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_Toc119342547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107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00B7754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8" w:history="1">
            <w:r w:rsidR="00920E35" w:rsidRPr="00920E35">
              <w:rPr>
                <w:rStyle w:val="af0"/>
                <w:sz w:val="28"/>
                <w:szCs w:val="28"/>
              </w:rPr>
              <w:t>Список используемых источников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_Toc119342548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113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2EDBF5D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49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А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_Toc119342549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124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5D31159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50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Б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_Toc119342550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125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D4D76E0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51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В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_Toc119342551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127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FD63D60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52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Г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_Toc119342552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129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8FD6916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53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Д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_Toc119342553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130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CB54955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54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Е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_Toc119342554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131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1CB21A4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55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Ж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_Toc119342555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133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8D64972" w14:textId="77777777" w:rsidR="008B76AD" w:rsidRPr="00920E35" w:rsidRDefault="008F0F6A">
          <w:pPr>
            <w:pStyle w:val="12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19342556" w:history="1">
            <w:r w:rsidR="00920E35" w:rsidRPr="00920E35">
              <w:rPr>
                <w:rStyle w:val="af0"/>
                <w:sz w:val="28"/>
                <w:szCs w:val="28"/>
              </w:rPr>
              <w:t>Приложение</w:t>
            </w:r>
            <w:r w:rsidR="008B76AD" w:rsidRPr="00920E35">
              <w:rPr>
                <w:rStyle w:val="af0"/>
                <w:sz w:val="28"/>
                <w:szCs w:val="28"/>
              </w:rPr>
              <w:t xml:space="preserve"> З</w:t>
            </w:r>
            <w:r w:rsidR="008B76AD" w:rsidRPr="00920E35">
              <w:rPr>
                <w:webHidden/>
                <w:sz w:val="28"/>
                <w:szCs w:val="28"/>
              </w:rPr>
              <w:tab/>
            </w:r>
            <w:r w:rsidR="008B76AD" w:rsidRPr="00920E35">
              <w:rPr>
                <w:webHidden/>
                <w:sz w:val="28"/>
                <w:szCs w:val="28"/>
              </w:rPr>
              <w:fldChar w:fldCharType="begin"/>
            </w:r>
            <w:r w:rsidR="008B76AD" w:rsidRPr="00920E35">
              <w:rPr>
                <w:webHidden/>
                <w:sz w:val="28"/>
                <w:szCs w:val="28"/>
              </w:rPr>
              <w:instrText xml:space="preserve"> PAGEREF _Toc119342556 \h </w:instrText>
            </w:r>
            <w:r w:rsidR="008B76AD" w:rsidRPr="00920E35">
              <w:rPr>
                <w:webHidden/>
                <w:sz w:val="28"/>
                <w:szCs w:val="28"/>
              </w:rPr>
            </w:r>
            <w:r w:rsidR="008B76AD" w:rsidRPr="00920E35">
              <w:rPr>
                <w:webHidden/>
                <w:sz w:val="28"/>
                <w:szCs w:val="28"/>
              </w:rPr>
              <w:fldChar w:fldCharType="separate"/>
            </w:r>
            <w:r w:rsidR="008B76AD" w:rsidRPr="00920E35">
              <w:rPr>
                <w:webHidden/>
                <w:sz w:val="28"/>
                <w:szCs w:val="28"/>
              </w:rPr>
              <w:t>137</w:t>
            </w:r>
            <w:r w:rsidR="008B76AD" w:rsidRPr="00920E35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FCC9572" w14:textId="77777777" w:rsidR="00B94A80" w:rsidRPr="00920E35" w:rsidRDefault="00B94A80">
          <w:r w:rsidRPr="00920E35">
            <w:rPr>
              <w:b/>
              <w:bCs/>
            </w:rPr>
            <w:fldChar w:fldCharType="end"/>
          </w:r>
        </w:p>
      </w:sdtContent>
    </w:sdt>
    <w:p w14:paraId="668E30FF" w14:textId="77777777" w:rsidR="00AA558A" w:rsidRDefault="00AA558A" w:rsidP="00B94A80">
      <w:pPr>
        <w:spacing w:line="240" w:lineRule="auto"/>
        <w:ind w:firstLine="0"/>
        <w:jc w:val="center"/>
      </w:pPr>
    </w:p>
    <w:p w14:paraId="77FA86C4" w14:textId="77777777" w:rsidR="00B94A80" w:rsidRDefault="00B94A80" w:rsidP="00B94A80">
      <w:pPr>
        <w:spacing w:line="240" w:lineRule="auto"/>
        <w:ind w:firstLine="0"/>
        <w:jc w:val="center"/>
      </w:pPr>
    </w:p>
    <w:p w14:paraId="61110F21" w14:textId="77777777" w:rsidR="00B94A80" w:rsidRDefault="00B94A80" w:rsidP="00B94A80">
      <w:pPr>
        <w:spacing w:line="240" w:lineRule="auto"/>
        <w:ind w:firstLine="0"/>
        <w:jc w:val="center"/>
      </w:pPr>
    </w:p>
    <w:p w14:paraId="667E3DA0" w14:textId="77777777" w:rsidR="00B94A80" w:rsidRDefault="00B94A80" w:rsidP="00B94A80">
      <w:pPr>
        <w:spacing w:line="240" w:lineRule="auto"/>
        <w:ind w:firstLine="0"/>
        <w:jc w:val="center"/>
      </w:pPr>
    </w:p>
    <w:p w14:paraId="140F1EC2" w14:textId="77777777" w:rsidR="00B94A80" w:rsidRDefault="00B94A80" w:rsidP="00B94A80">
      <w:pPr>
        <w:spacing w:line="240" w:lineRule="auto"/>
        <w:ind w:firstLine="0"/>
        <w:jc w:val="center"/>
      </w:pPr>
    </w:p>
    <w:p w14:paraId="231BC714" w14:textId="77777777" w:rsidR="00B94A80" w:rsidRDefault="00B94A80" w:rsidP="00B94A80">
      <w:pPr>
        <w:spacing w:line="240" w:lineRule="auto"/>
        <w:ind w:firstLine="0"/>
        <w:jc w:val="center"/>
      </w:pPr>
    </w:p>
    <w:p w14:paraId="7BB1127E" w14:textId="77777777" w:rsidR="00B94A80" w:rsidRDefault="00B94A80" w:rsidP="00B94A80">
      <w:pPr>
        <w:spacing w:line="240" w:lineRule="auto"/>
        <w:ind w:firstLine="0"/>
        <w:jc w:val="center"/>
      </w:pPr>
    </w:p>
    <w:p w14:paraId="531F6FDF" w14:textId="77777777" w:rsidR="00B94A80" w:rsidRDefault="00B94A80" w:rsidP="00B94A80">
      <w:pPr>
        <w:spacing w:line="240" w:lineRule="auto"/>
        <w:ind w:firstLine="0"/>
        <w:jc w:val="center"/>
      </w:pPr>
    </w:p>
    <w:p w14:paraId="7813A0D7" w14:textId="77777777" w:rsidR="00B94A80" w:rsidRDefault="00B94A80" w:rsidP="00B94A80">
      <w:pPr>
        <w:spacing w:line="240" w:lineRule="auto"/>
        <w:ind w:firstLine="0"/>
        <w:jc w:val="center"/>
      </w:pPr>
    </w:p>
    <w:p w14:paraId="240E485A" w14:textId="77777777" w:rsidR="00B94A80" w:rsidRDefault="00B94A80" w:rsidP="00B94A80">
      <w:pPr>
        <w:spacing w:line="240" w:lineRule="auto"/>
        <w:ind w:firstLine="0"/>
        <w:jc w:val="center"/>
      </w:pPr>
    </w:p>
    <w:p w14:paraId="52FA5C11" w14:textId="77777777" w:rsidR="00B94A80" w:rsidRDefault="00B94A80" w:rsidP="00B94A80">
      <w:pPr>
        <w:spacing w:line="240" w:lineRule="auto"/>
        <w:ind w:firstLine="0"/>
        <w:jc w:val="center"/>
      </w:pPr>
    </w:p>
    <w:p w14:paraId="69AADAEE" w14:textId="77777777" w:rsidR="00B94A80" w:rsidRDefault="00B94A80" w:rsidP="00B94A80">
      <w:pPr>
        <w:spacing w:line="240" w:lineRule="auto"/>
        <w:ind w:firstLine="0"/>
        <w:jc w:val="center"/>
      </w:pPr>
    </w:p>
    <w:p w14:paraId="5A9DC5BC" w14:textId="77777777" w:rsidR="00B94A80" w:rsidRDefault="00B94A80" w:rsidP="00B94A80">
      <w:pPr>
        <w:spacing w:line="240" w:lineRule="auto"/>
        <w:ind w:firstLine="0"/>
        <w:jc w:val="center"/>
      </w:pPr>
    </w:p>
    <w:p w14:paraId="71B79F00" w14:textId="77777777" w:rsidR="00B94A80" w:rsidRDefault="00B94A80" w:rsidP="00B94A80">
      <w:pPr>
        <w:spacing w:line="240" w:lineRule="auto"/>
        <w:ind w:firstLine="0"/>
        <w:jc w:val="center"/>
      </w:pPr>
    </w:p>
    <w:p w14:paraId="2C5BBDCF" w14:textId="77777777" w:rsidR="00B94A80" w:rsidRDefault="00B94A80" w:rsidP="00B94A80">
      <w:pPr>
        <w:spacing w:line="240" w:lineRule="auto"/>
        <w:ind w:firstLine="0"/>
        <w:jc w:val="center"/>
      </w:pPr>
    </w:p>
    <w:p w14:paraId="568D7CF3" w14:textId="77777777" w:rsidR="00B94A80" w:rsidRDefault="00B94A80" w:rsidP="00B94A80">
      <w:pPr>
        <w:spacing w:line="240" w:lineRule="auto"/>
        <w:ind w:firstLine="0"/>
        <w:jc w:val="center"/>
      </w:pPr>
    </w:p>
    <w:p w14:paraId="0CFF4C73" w14:textId="77777777" w:rsidR="00B94A80" w:rsidRDefault="00B94A80" w:rsidP="00B94A80">
      <w:pPr>
        <w:spacing w:line="240" w:lineRule="auto"/>
        <w:ind w:firstLine="0"/>
        <w:jc w:val="center"/>
      </w:pPr>
    </w:p>
    <w:p w14:paraId="392486E8" w14:textId="77777777" w:rsidR="00B94A80" w:rsidRDefault="00B94A80" w:rsidP="00B94A80">
      <w:pPr>
        <w:spacing w:line="240" w:lineRule="auto"/>
        <w:ind w:firstLine="0"/>
        <w:jc w:val="center"/>
      </w:pPr>
    </w:p>
    <w:p w14:paraId="495855C9" w14:textId="77777777" w:rsidR="00B94A80" w:rsidRDefault="00B94A80" w:rsidP="00B94A80">
      <w:pPr>
        <w:spacing w:line="240" w:lineRule="auto"/>
        <w:ind w:firstLine="0"/>
        <w:jc w:val="center"/>
      </w:pPr>
    </w:p>
    <w:p w14:paraId="5CDFE240" w14:textId="77777777" w:rsidR="00B94A80" w:rsidRDefault="00B94A80" w:rsidP="00B94A80">
      <w:pPr>
        <w:spacing w:line="240" w:lineRule="auto"/>
        <w:ind w:firstLine="0"/>
        <w:jc w:val="center"/>
      </w:pPr>
    </w:p>
    <w:p w14:paraId="13F7901D" w14:textId="77777777" w:rsidR="00B94A80" w:rsidRDefault="00B94A80" w:rsidP="00B94A80">
      <w:pPr>
        <w:spacing w:line="240" w:lineRule="auto"/>
        <w:ind w:firstLine="0"/>
        <w:jc w:val="center"/>
      </w:pPr>
    </w:p>
    <w:p w14:paraId="1B605A5D" w14:textId="77777777" w:rsidR="00B94A80" w:rsidRDefault="00B94A80" w:rsidP="00B94A80">
      <w:pPr>
        <w:spacing w:line="240" w:lineRule="auto"/>
        <w:ind w:firstLine="0"/>
        <w:jc w:val="center"/>
      </w:pPr>
    </w:p>
    <w:p w14:paraId="5A77739B" w14:textId="11372F8A" w:rsidR="00B94A80" w:rsidRDefault="00B94A80" w:rsidP="00B94A80">
      <w:pPr>
        <w:spacing w:line="240" w:lineRule="auto"/>
        <w:ind w:firstLine="0"/>
        <w:jc w:val="center"/>
      </w:pPr>
    </w:p>
    <w:p w14:paraId="0D277F67" w14:textId="77777777" w:rsidR="00FF5FAB" w:rsidRDefault="00FF5FAB" w:rsidP="00B94A80">
      <w:pPr>
        <w:spacing w:line="240" w:lineRule="auto"/>
        <w:ind w:firstLine="0"/>
        <w:jc w:val="center"/>
      </w:pPr>
    </w:p>
    <w:p w14:paraId="339AE8A3" w14:textId="77777777" w:rsidR="00B94A80" w:rsidRDefault="00B94A80" w:rsidP="00B94A80">
      <w:pPr>
        <w:spacing w:line="240" w:lineRule="auto"/>
        <w:ind w:firstLine="0"/>
        <w:jc w:val="center"/>
      </w:pPr>
    </w:p>
    <w:p w14:paraId="58DB7B32" w14:textId="77777777" w:rsidR="00B94A80" w:rsidRDefault="00B94A80" w:rsidP="00B94A80">
      <w:pPr>
        <w:spacing w:line="240" w:lineRule="auto"/>
        <w:ind w:firstLine="0"/>
        <w:jc w:val="center"/>
      </w:pPr>
    </w:p>
    <w:p w14:paraId="77122007" w14:textId="77777777" w:rsidR="00B94A80" w:rsidRDefault="00B94A80" w:rsidP="00B94A80">
      <w:pPr>
        <w:spacing w:line="240" w:lineRule="auto"/>
        <w:ind w:firstLine="0"/>
        <w:jc w:val="center"/>
      </w:pPr>
    </w:p>
    <w:p w14:paraId="0D6397D8" w14:textId="77777777" w:rsidR="00B94A80" w:rsidRDefault="00B94A80" w:rsidP="00B94A80">
      <w:pPr>
        <w:spacing w:line="240" w:lineRule="auto"/>
        <w:ind w:firstLine="0"/>
        <w:jc w:val="center"/>
      </w:pPr>
    </w:p>
    <w:p w14:paraId="40C4F124" w14:textId="77777777" w:rsidR="00B94A80" w:rsidRDefault="00B94A80" w:rsidP="00920E35">
      <w:pPr>
        <w:spacing w:line="240" w:lineRule="auto"/>
        <w:ind w:firstLine="0"/>
      </w:pPr>
    </w:p>
    <w:p w14:paraId="5E63CA58" w14:textId="77777777" w:rsidR="00920E35" w:rsidRDefault="00920E35" w:rsidP="00920E35">
      <w:pPr>
        <w:spacing w:line="240" w:lineRule="auto"/>
        <w:ind w:firstLine="0"/>
      </w:pPr>
    </w:p>
    <w:p w14:paraId="35566AC2" w14:textId="77777777" w:rsidR="007602DF" w:rsidRDefault="007602DF" w:rsidP="00920E35">
      <w:pPr>
        <w:spacing w:line="240" w:lineRule="auto"/>
        <w:ind w:firstLine="0"/>
      </w:pPr>
    </w:p>
    <w:p w14:paraId="4F4A77AE" w14:textId="77777777" w:rsidR="007602DF" w:rsidRDefault="007602DF" w:rsidP="00920E35">
      <w:pPr>
        <w:spacing w:line="240" w:lineRule="auto"/>
        <w:ind w:firstLine="0"/>
      </w:pPr>
    </w:p>
    <w:p w14:paraId="76DE3AEE" w14:textId="77777777" w:rsidR="007602DF" w:rsidRDefault="007602DF" w:rsidP="00920E35">
      <w:pPr>
        <w:spacing w:line="240" w:lineRule="auto"/>
        <w:ind w:firstLine="0"/>
      </w:pPr>
    </w:p>
    <w:p w14:paraId="4687ABCE" w14:textId="77777777" w:rsidR="00B94A80" w:rsidRDefault="00B94A80" w:rsidP="00B94A80">
      <w:pPr>
        <w:spacing w:line="240" w:lineRule="auto"/>
        <w:ind w:firstLine="0"/>
      </w:pPr>
    </w:p>
    <w:p w14:paraId="5DD6D4AD" w14:textId="77777777" w:rsidR="004F3BE0" w:rsidRPr="00D22AF9" w:rsidRDefault="00364B50" w:rsidP="00D73417">
      <w:pPr>
        <w:pStyle w:val="1"/>
        <w:ind w:firstLine="0"/>
        <w:rPr>
          <w:sz w:val="32"/>
        </w:rPr>
      </w:pPr>
      <w:bookmarkStart w:id="0" w:name="_Toc117531957"/>
      <w:bookmarkStart w:id="1" w:name="_Toc119342534"/>
      <w:r w:rsidRPr="00D22AF9">
        <w:rPr>
          <w:sz w:val="32"/>
        </w:rPr>
        <w:t>ВВЕДЕНИЕ</w:t>
      </w:r>
      <w:bookmarkEnd w:id="0"/>
      <w:bookmarkEnd w:id="1"/>
    </w:p>
    <w:p w14:paraId="15A9DEB2" w14:textId="77777777" w:rsidR="007004CC" w:rsidRDefault="007004CC" w:rsidP="00D22AF9">
      <w:pPr>
        <w:ind w:firstLine="0"/>
      </w:pPr>
    </w:p>
    <w:p w14:paraId="30D11115" w14:textId="77777777" w:rsidR="00922528" w:rsidRPr="007004CC" w:rsidRDefault="00922528" w:rsidP="00D22AF9">
      <w:pPr>
        <w:ind w:firstLine="0"/>
      </w:pPr>
    </w:p>
    <w:p w14:paraId="5F8911DE" w14:textId="77777777" w:rsidR="004F3BE0" w:rsidRDefault="004F3BE0" w:rsidP="004F3BE0">
      <w:r>
        <w:t>Актуальность рассматриваемой темы состоит в существующей потребности</w:t>
      </w:r>
      <w:r w:rsidR="00A725EE">
        <w:t xml:space="preserve"> эффективной работы предпринимателей по внешнеторговой деятельности</w:t>
      </w:r>
      <w:r>
        <w:t xml:space="preserve">. Как следствие, актуализируется необходимость создания действенной системы </w:t>
      </w:r>
      <w:r w:rsidR="00A725EE">
        <w:t xml:space="preserve">поддержки в сфере </w:t>
      </w:r>
      <w:r>
        <w:t>вал</w:t>
      </w:r>
      <w:r w:rsidR="00A725EE">
        <w:t>ютного регулирования и контроля, посредством предоставления соответствующих финансовых услуг.</w:t>
      </w:r>
      <w:r>
        <w:t xml:space="preserve"> Фронт-структурами, первыми сталкивающимися с попытками осуществления незаконных сделок </w:t>
      </w:r>
      <w:r w:rsidR="00237F30">
        <w:t xml:space="preserve">из-за непонимания работы с внешнеэкономической деятельностью (далее – </w:t>
      </w:r>
      <w:r>
        <w:t>ВЭД</w:t>
      </w:r>
      <w:r w:rsidR="00237F30">
        <w:t>)</w:t>
      </w:r>
      <w:r>
        <w:t xml:space="preserve">, являются </w:t>
      </w:r>
      <w:r w:rsidR="00A725EE">
        <w:t>организации партнеры</w:t>
      </w:r>
      <w:r w:rsidR="00A725EE" w:rsidRPr="00872292">
        <w:t xml:space="preserve"> для </w:t>
      </w:r>
      <w:r w:rsidR="00A725EE">
        <w:t>уполномоченных банков</w:t>
      </w:r>
      <w:r>
        <w:t>. Несмотря на отмечающееся повышение эффективности валютного контроля,</w:t>
      </w:r>
      <w:r w:rsidR="00A725EE">
        <w:t xml:space="preserve"> вызванное использованием финансовых услуг, которые делают работу с ВЭД более </w:t>
      </w:r>
      <w:proofErr w:type="spellStart"/>
      <w:r w:rsidR="00A725EE">
        <w:t>эффектиновй</w:t>
      </w:r>
      <w:proofErr w:type="spellEnd"/>
      <w:r w:rsidR="00A725EE">
        <w:t>,</w:t>
      </w:r>
      <w:r>
        <w:t xml:space="preserve"> уровень незаконных сделок ВЭД все еще остается остаточно высоким. </w:t>
      </w:r>
    </w:p>
    <w:p w14:paraId="287F572E" w14:textId="77777777" w:rsidR="004F3BE0" w:rsidRDefault="004F3BE0" w:rsidP="004F3BE0">
      <w:r>
        <w:t>Данная проблема имеет несколько аспектов:</w:t>
      </w:r>
    </w:p>
    <w:p w14:paraId="384037E8" w14:textId="77777777" w:rsidR="004F3BE0" w:rsidRDefault="004F3BE0" w:rsidP="004F3BE0">
      <w:r>
        <w:t>– во-первых, она обусловлена изобретательностью и предприимчивостью предпринимательского сообщества, ростом его знаний о принципах и методах осуществления предпринимательской деятельности, способствующих созданию все новых и новых способов ухода от обусловленных законом таможенных и иных платежей, связанных с внешнеэкономической деятельностью;</w:t>
      </w:r>
    </w:p>
    <w:p w14:paraId="12ADA1F7" w14:textId="77777777" w:rsidR="004F3BE0" w:rsidRDefault="004F3BE0" w:rsidP="004F3BE0">
      <w:r>
        <w:t xml:space="preserve">– во-вторых, в истории развития банковской системы России было немало примеров, когда банки, находившиеся под контролем преступных сообществ (как собственников, так и клиентов), осуществляли незаконные действия, направленные на отмывание доходов, полученных преступным путем. В настоящее время Банк России занял довольно жесткую позицию, осуществляя отзыв лицензий у таких банков. Однако количество банков, </w:t>
      </w:r>
      <w:r>
        <w:lastRenderedPageBreak/>
        <w:t>закрываемых по этой причине, все еще велико. Особенно часто Банку России приходится отзывать лицензии у банков, имеющих широкие филиальные сети и работающих с физическими лицами. Это говорит о том, что система валютного регулирования и контроля действует недостаточно эффективно;</w:t>
      </w:r>
    </w:p>
    <w:p w14:paraId="2A2B3CAD" w14:textId="77777777" w:rsidR="004F3BE0" w:rsidRDefault="004F3BE0" w:rsidP="004F3BE0">
      <w:r>
        <w:t xml:space="preserve">–  в-третьих, банки, являясь агентами валютного контроля, несут ответственность за нарушение валютного законодательства, за непередачу выявленных схем осуществления преступных внешнеэкономических сделок, наконец, за работу с теми клиентами, которые замечены в осуществлении таких схем. Поэтому банки также заинтересованы в повышении эффективности осуществления производимого ими валютного контроля. </w:t>
      </w:r>
    </w:p>
    <w:p w14:paraId="57C37850" w14:textId="77777777" w:rsidR="004F3BE0" w:rsidRDefault="004F3BE0" w:rsidP="004F3BE0">
      <w:r>
        <w:t xml:space="preserve">Проблемы осуществления валютного контроля достаточно широко освещены в отечественной научной литературе. </w:t>
      </w:r>
    </w:p>
    <w:p w14:paraId="00EB6923" w14:textId="77777777" w:rsidR="004F3BE0" w:rsidRDefault="004F3BE0" w:rsidP="004F3BE0">
      <w:pPr>
        <w:rPr>
          <w:bCs/>
          <w:iCs/>
          <w:noProof/>
        </w:rPr>
      </w:pPr>
      <w:r>
        <w:t xml:space="preserve">Так, </w:t>
      </w:r>
      <w:r w:rsidRPr="00495E15">
        <w:rPr>
          <w:bCs/>
          <w:iCs/>
          <w:noProof/>
        </w:rPr>
        <w:t>Т. И. Бабенко, Ю. Ш. Блам, С. В. Казанцев</w:t>
      </w:r>
      <w:r>
        <w:rPr>
          <w:bCs/>
          <w:iCs/>
          <w:noProof/>
        </w:rPr>
        <w:t xml:space="preserve"> исследовали угрозы экономике России, связанные с проведением незаконных финансовых операций при внешнеэкономических сделках. </w:t>
      </w:r>
    </w:p>
    <w:p w14:paraId="622D0F8C" w14:textId="77777777" w:rsidR="004F3BE0" w:rsidRDefault="004F3BE0" w:rsidP="004F3BE0">
      <w:pPr>
        <w:rPr>
          <w:bCs/>
          <w:iCs/>
          <w:noProof/>
        </w:rPr>
      </w:pPr>
      <w:r>
        <w:rPr>
          <w:bCs/>
          <w:iCs/>
          <w:noProof/>
        </w:rPr>
        <w:t>К. Ю. Курилов и Н. В. Колычева исследовали эффективность системы валютного контроля в России, а Е. Ю. Подосинников – роль валютного контроля в системе валютного регулирования, А. И. Магомедова – институциональные основы валютного контроля  валютного регулирования в России.</w:t>
      </w:r>
    </w:p>
    <w:p w14:paraId="75BA51A9" w14:textId="77777777" w:rsidR="004F3BE0" w:rsidRDefault="004F3BE0" w:rsidP="004F3BE0">
      <w:pPr>
        <w:rPr>
          <w:bCs/>
          <w:iCs/>
          <w:noProof/>
        </w:rPr>
      </w:pPr>
      <w:r>
        <w:rPr>
          <w:bCs/>
          <w:iCs/>
          <w:noProof/>
        </w:rPr>
        <w:t xml:space="preserve">Имеется и большое количество научных трудов других авторов, которые посвятили их тем или иным аспектам валютного регулирования и валютного контроля. Однако все авторы свидетельствуют о недостаточной эффективности действующей системы, что свидетельствует о том, что многие аспекты изучаемой проблемы еще не нашли своего разрешения. Одним из таких аспектов является повышения эффективности </w:t>
      </w:r>
      <w:r w:rsidR="00CC6033">
        <w:rPr>
          <w:bCs/>
          <w:iCs/>
          <w:noProof/>
        </w:rPr>
        <w:t>предоставления услуг в сфере ВЭД</w:t>
      </w:r>
      <w:r>
        <w:rPr>
          <w:bCs/>
          <w:iCs/>
          <w:noProof/>
        </w:rPr>
        <w:t>. Выделенный аспект и стал побудительным мотивом для выбора темы данного исследования.</w:t>
      </w:r>
    </w:p>
    <w:p w14:paraId="07DBC9F7" w14:textId="77777777" w:rsidR="004F3BE0" w:rsidRDefault="004F3BE0" w:rsidP="004F3BE0">
      <w:pPr>
        <w:rPr>
          <w:bCs/>
          <w:iCs/>
          <w:noProof/>
        </w:rPr>
      </w:pPr>
      <w:r>
        <w:rPr>
          <w:bCs/>
          <w:iCs/>
          <w:noProof/>
        </w:rPr>
        <w:lastRenderedPageBreak/>
        <w:t xml:space="preserve">Цель исследования – выявление перспективных направлений </w:t>
      </w:r>
      <w:r w:rsidR="00CC6033">
        <w:rPr>
          <w:bCs/>
          <w:iCs/>
          <w:noProof/>
        </w:rPr>
        <w:t>в сфере финансовых услуг, предоставляемых для ведения ВЭД</w:t>
      </w:r>
      <w:r>
        <w:rPr>
          <w:bCs/>
          <w:iCs/>
          <w:noProof/>
        </w:rPr>
        <w:t>.</w:t>
      </w:r>
    </w:p>
    <w:p w14:paraId="15DFCF17" w14:textId="77777777" w:rsidR="004F3BE0" w:rsidRDefault="004F3BE0" w:rsidP="004F3BE0">
      <w:r>
        <w:rPr>
          <w:bCs/>
          <w:iCs/>
          <w:noProof/>
        </w:rPr>
        <w:t>Объектом исследования является</w:t>
      </w:r>
      <w:r w:rsidR="00B80AA7">
        <w:t xml:space="preserve"> Акционерное Общество (далее – АО)</w:t>
      </w:r>
      <w:r w:rsidR="003A139A">
        <w:t xml:space="preserve"> «Точка»</w:t>
      </w:r>
      <w:r>
        <w:t xml:space="preserve">, предметом – эффективность </w:t>
      </w:r>
      <w:r w:rsidR="00CC6033">
        <w:t>существующих финансовых услуг, предоставляемых</w:t>
      </w:r>
      <w:r>
        <w:t xml:space="preserve"> </w:t>
      </w:r>
      <w:r w:rsidR="00CC6033">
        <w:t>АО «Точка», которые способствуют качественному ведению внешнеэкономической деятельности</w:t>
      </w:r>
      <w:r>
        <w:t>.</w:t>
      </w:r>
    </w:p>
    <w:p w14:paraId="46186E56" w14:textId="77777777" w:rsidR="004F3BE0" w:rsidRDefault="004F3BE0" w:rsidP="004F3BE0">
      <w:r>
        <w:t>Задачами исследования явились:</w:t>
      </w:r>
    </w:p>
    <w:p w14:paraId="324DAFEF" w14:textId="77777777" w:rsidR="004F3BE0" w:rsidRDefault="004F3BE0" w:rsidP="004F3BE0">
      <w:r>
        <w:t>– исследование современного состояния валютного контроля и валютного регулирования во внешнеэкономической деятельности РФ;</w:t>
      </w:r>
    </w:p>
    <w:p w14:paraId="696343BB" w14:textId="77777777" w:rsidR="004F3BE0" w:rsidRDefault="004F3BE0" w:rsidP="004F3BE0">
      <w:r>
        <w:t xml:space="preserve">– анализ практики </w:t>
      </w:r>
      <w:r w:rsidR="00CC6033">
        <w:t xml:space="preserve">предоставляемых услуг, для успешного прохождения процедур </w:t>
      </w:r>
      <w:r>
        <w:t xml:space="preserve">валютного контроля на примере </w:t>
      </w:r>
      <w:r w:rsidR="005A3E6C">
        <w:t>АО «Точка»</w:t>
      </w:r>
      <w:r>
        <w:t>;</w:t>
      </w:r>
    </w:p>
    <w:p w14:paraId="202A49F5" w14:textId="77777777" w:rsidR="004F3BE0" w:rsidRDefault="004F3BE0" w:rsidP="004F3BE0">
      <w:r>
        <w:t>– выявление направлений повышения эффективности валютного контроля в банковской деятельности</w:t>
      </w:r>
      <w:r w:rsidR="00CC6033">
        <w:t>, посредством финансовых услуг, предоставляемых АО «Точка»</w:t>
      </w:r>
      <w:r>
        <w:t>.</w:t>
      </w:r>
    </w:p>
    <w:p w14:paraId="7D909D92" w14:textId="77777777" w:rsidR="004A76BA" w:rsidRPr="00C03669" w:rsidRDefault="004A76BA" w:rsidP="00BF440F">
      <w:pPr>
        <w:jc w:val="center"/>
        <w:rPr>
          <w:lang w:val="en-US"/>
        </w:rPr>
      </w:pPr>
    </w:p>
    <w:sectPr w:rsidR="004A76BA" w:rsidRPr="00C03669" w:rsidSect="00CC216A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2F42" w14:textId="77777777" w:rsidR="008F0F6A" w:rsidRDefault="008F0F6A" w:rsidP="004F3BE0">
      <w:pPr>
        <w:spacing w:line="240" w:lineRule="auto"/>
      </w:pPr>
      <w:r>
        <w:separator/>
      </w:r>
    </w:p>
  </w:endnote>
  <w:endnote w:type="continuationSeparator" w:id="0">
    <w:p w14:paraId="116B0DBA" w14:textId="77777777" w:rsidR="008F0F6A" w:rsidRDefault="008F0F6A" w:rsidP="004F3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hitney-Medium">
    <w:altName w:val="Cambria"/>
    <w:panose1 w:val="00000000000000000000"/>
    <w:charset w:val="00"/>
    <w:family w:val="roman"/>
    <w:notTrueType/>
    <w:pitch w:val="default"/>
  </w:font>
  <w:font w:name="Whitney-Book">
    <w:altName w:val="Cambria"/>
    <w:panose1 w:val="00000000000000000000"/>
    <w:charset w:val="00"/>
    <w:family w:val="roman"/>
    <w:notTrueType/>
    <w:pitch w:val="default"/>
  </w:font>
  <w:font w:name="Whitney-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12594"/>
      <w:docPartObj>
        <w:docPartGallery w:val="Page Numbers (Bottom of Page)"/>
        <w:docPartUnique/>
      </w:docPartObj>
    </w:sdtPr>
    <w:sdtEndPr/>
    <w:sdtContent>
      <w:p w14:paraId="680E6F04" w14:textId="77777777" w:rsidR="007602DF" w:rsidRDefault="007602DF" w:rsidP="00640300">
        <w:pPr>
          <w:pStyle w:val="a4"/>
        </w:pPr>
      </w:p>
      <w:p w14:paraId="0CC5EC22" w14:textId="77777777" w:rsidR="007602DF" w:rsidRDefault="007602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FDF">
          <w:rPr>
            <w:noProof/>
          </w:rPr>
          <w:t>144</w:t>
        </w:r>
        <w:r>
          <w:fldChar w:fldCharType="end"/>
        </w:r>
      </w:p>
    </w:sdtContent>
  </w:sdt>
  <w:p w14:paraId="20009B9C" w14:textId="77777777" w:rsidR="007602DF" w:rsidRDefault="007602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9E2D" w14:textId="77777777" w:rsidR="008F0F6A" w:rsidRDefault="008F0F6A" w:rsidP="004F3BE0">
      <w:pPr>
        <w:spacing w:line="240" w:lineRule="auto"/>
      </w:pPr>
      <w:r>
        <w:separator/>
      </w:r>
    </w:p>
  </w:footnote>
  <w:footnote w:type="continuationSeparator" w:id="0">
    <w:p w14:paraId="336A1F9D" w14:textId="77777777" w:rsidR="008F0F6A" w:rsidRDefault="008F0F6A" w:rsidP="004F3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5877"/>
      <w:docPartObj>
        <w:docPartGallery w:val="Page Numbers (Margins)"/>
        <w:docPartUnique/>
      </w:docPartObj>
    </w:sdtPr>
    <w:sdtEndPr/>
    <w:sdtContent>
      <w:p w14:paraId="4E25C7D8" w14:textId="77777777" w:rsidR="007602DF" w:rsidRDefault="007602DF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4F0BCCC0" wp14:editId="12BAD418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5" name="Прямоугольник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9668D" w14:textId="77777777" w:rsidR="007602DF" w:rsidRDefault="007602D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0BCCC0" id="Прямоугольник 35" o:spid="_x0000_s1026" style="position:absolute;left:0;text-align:left;margin-left:0;margin-top:0;width:57.3pt;height:25.95pt;z-index:25166950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e4KQIAAPgDAAAOAAAAZHJzL2Uyb0RvYy54bWysU82O0zAQviPxDpbvNE233bJR09WqqyKk&#10;BVZaeADXcZqIxGPGbpPlhMQViUfgIbggfvYZ0jdi7HRLgRsiByvjmfn8fZ/Hs/O2rthWoS1Bpzwe&#10;DDlTWkJW6nXKX71cPnrMmXVCZ6ICrVJ+qyw/nz98MGtMokZQQJUpZASibdKYlBfOmSSKrCxULewA&#10;jNKUzAFr4SjEdZShaAi9rqLRcHgaNYCZQZDKWtq97JN8HvDzXEn3Is+tcqxKOXFzYcWwrvwazWci&#10;WaMwRSn3NMQ/sKhFqenQA9SlcIJtsPwLqi4lgoXcDSTUEeR5KVXQQGri4R9qbgphVNBC5lhzsMn+&#10;P1j5fHuNrMxSfjLhTIua7qj7tHu3+9h97+5277vP3V33bfeh+9F96b4yKiLHGmMTarwx1+g1W3MF&#10;8rVlGhaF0Gt1gQhNoURGPGNfH/3W4ANLrWzVPIOMzhMbB8G8NsfaA5ItrA13dHu4I9U6JmlzOppO&#10;Y7pJSamT0dnkNDCKRHLfbNC6Jwpq5n9SjjQCAVxsr6zzZERyXxLIQ1Vmy7KqQoDr1aJCthU0Lsvw&#10;Bf6k8bis0r5Yg2/rEf1OUOmF9Qa5dtXuvVpBdkt6Efrxo+dCPwXgW84aGr2U2zcbgYqz6qkmz87i&#10;8djPagjGk+mIAjzOrI4zQkuCSrnjrP9duH6+NwbLdUEnxUG/hgvyOS+DB/4OelZ73jRewZr9U/Dz&#10;exyHql8Pdv4T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EU797gpAgAA+AMAAA4AAAAAAAAAAAAAAAAALgIAAGRycy9lMm9E&#10;b2MueG1sUEsBAi0AFAAGAAgAAAAhAHGmhoPcAAAABAEAAA8AAAAAAAAAAAAAAAAAgwQAAGRycy9k&#10;b3ducmV2LnhtbFBLBQYAAAAABAAEAPMAAACMBQAAAAA=&#10;" o:allowincell="f" stroked="f">
                  <v:textbox>
                    <w:txbxContent>
                      <w:p w14:paraId="0219668D" w14:textId="77777777" w:rsidR="007602DF" w:rsidRDefault="007602DF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DE3EB22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3156314"/>
    <w:multiLevelType w:val="hybridMultilevel"/>
    <w:tmpl w:val="A9D6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534B"/>
    <w:multiLevelType w:val="hybridMultilevel"/>
    <w:tmpl w:val="696827C2"/>
    <w:lvl w:ilvl="0" w:tplc="22CEA99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BE6DDF"/>
    <w:multiLevelType w:val="hybridMultilevel"/>
    <w:tmpl w:val="8E283746"/>
    <w:lvl w:ilvl="0" w:tplc="5EFE9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AE02A5"/>
    <w:multiLevelType w:val="hybridMultilevel"/>
    <w:tmpl w:val="E86E4BF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5716EB2"/>
    <w:multiLevelType w:val="hybridMultilevel"/>
    <w:tmpl w:val="C154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58B4"/>
    <w:multiLevelType w:val="hybridMultilevel"/>
    <w:tmpl w:val="F78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83C8A"/>
    <w:multiLevelType w:val="multilevel"/>
    <w:tmpl w:val="5F1065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3F2A7E4A"/>
    <w:multiLevelType w:val="hybridMultilevel"/>
    <w:tmpl w:val="6C3A6FC4"/>
    <w:lvl w:ilvl="0" w:tplc="69F8A5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CD699E"/>
    <w:multiLevelType w:val="hybridMultilevel"/>
    <w:tmpl w:val="6CA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77CF7"/>
    <w:multiLevelType w:val="multilevel"/>
    <w:tmpl w:val="1958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0573B"/>
    <w:multiLevelType w:val="hybridMultilevel"/>
    <w:tmpl w:val="EE5C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73A3"/>
    <w:multiLevelType w:val="hybridMultilevel"/>
    <w:tmpl w:val="081C82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F741C"/>
    <w:multiLevelType w:val="multilevel"/>
    <w:tmpl w:val="64CEB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5E83D85"/>
    <w:multiLevelType w:val="hybridMultilevel"/>
    <w:tmpl w:val="01265B3C"/>
    <w:lvl w:ilvl="0" w:tplc="4E769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ED4A20"/>
    <w:multiLevelType w:val="hybridMultilevel"/>
    <w:tmpl w:val="081C82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4728F"/>
    <w:multiLevelType w:val="hybridMultilevel"/>
    <w:tmpl w:val="974E35E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775C49A6"/>
    <w:multiLevelType w:val="hybridMultilevel"/>
    <w:tmpl w:val="30DE3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025AC"/>
    <w:multiLevelType w:val="hybridMultilevel"/>
    <w:tmpl w:val="C74C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2"/>
  </w:num>
  <w:num w:numId="6">
    <w:abstractNumId w:val="19"/>
  </w:num>
  <w:num w:numId="7">
    <w:abstractNumId w:val="13"/>
  </w:num>
  <w:num w:numId="8">
    <w:abstractNumId w:val="14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CD"/>
    <w:rsid w:val="00003DD6"/>
    <w:rsid w:val="00025756"/>
    <w:rsid w:val="0003449B"/>
    <w:rsid w:val="00034F87"/>
    <w:rsid w:val="00061699"/>
    <w:rsid w:val="00066B2C"/>
    <w:rsid w:val="00074F65"/>
    <w:rsid w:val="000D5F16"/>
    <w:rsid w:val="00113E0D"/>
    <w:rsid w:val="001174F4"/>
    <w:rsid w:val="00117D99"/>
    <w:rsid w:val="00122423"/>
    <w:rsid w:val="00130BD3"/>
    <w:rsid w:val="001332B0"/>
    <w:rsid w:val="00133568"/>
    <w:rsid w:val="00143A43"/>
    <w:rsid w:val="00144A82"/>
    <w:rsid w:val="00151CF6"/>
    <w:rsid w:val="00177A6F"/>
    <w:rsid w:val="00196300"/>
    <w:rsid w:val="001A2861"/>
    <w:rsid w:val="001A41F0"/>
    <w:rsid w:val="001C2795"/>
    <w:rsid w:val="001D58A8"/>
    <w:rsid w:val="001F6381"/>
    <w:rsid w:val="0021501A"/>
    <w:rsid w:val="00216B66"/>
    <w:rsid w:val="0022241A"/>
    <w:rsid w:val="00222E0E"/>
    <w:rsid w:val="00232FF0"/>
    <w:rsid w:val="00237F30"/>
    <w:rsid w:val="00242388"/>
    <w:rsid w:val="002664FB"/>
    <w:rsid w:val="00272917"/>
    <w:rsid w:val="00274C10"/>
    <w:rsid w:val="00280B27"/>
    <w:rsid w:val="0028285A"/>
    <w:rsid w:val="00283686"/>
    <w:rsid w:val="0029127C"/>
    <w:rsid w:val="002A71C5"/>
    <w:rsid w:val="002B0D1E"/>
    <w:rsid w:val="002B373E"/>
    <w:rsid w:val="002D527F"/>
    <w:rsid w:val="002E4B04"/>
    <w:rsid w:val="002E58E9"/>
    <w:rsid w:val="00301521"/>
    <w:rsid w:val="00314640"/>
    <w:rsid w:val="003163E3"/>
    <w:rsid w:val="00333A8F"/>
    <w:rsid w:val="0034549F"/>
    <w:rsid w:val="00363D99"/>
    <w:rsid w:val="003641E7"/>
    <w:rsid w:val="00364B50"/>
    <w:rsid w:val="003708FB"/>
    <w:rsid w:val="00370BCD"/>
    <w:rsid w:val="003A139A"/>
    <w:rsid w:val="003B407D"/>
    <w:rsid w:val="003B6071"/>
    <w:rsid w:val="003D0C42"/>
    <w:rsid w:val="003D0EEB"/>
    <w:rsid w:val="003D1722"/>
    <w:rsid w:val="003E5277"/>
    <w:rsid w:val="003E6C4A"/>
    <w:rsid w:val="00414468"/>
    <w:rsid w:val="00432BBF"/>
    <w:rsid w:val="00451CAE"/>
    <w:rsid w:val="00475510"/>
    <w:rsid w:val="00475C08"/>
    <w:rsid w:val="0048240B"/>
    <w:rsid w:val="004951C3"/>
    <w:rsid w:val="004A76BA"/>
    <w:rsid w:val="004B6396"/>
    <w:rsid w:val="004C206B"/>
    <w:rsid w:val="004E22B3"/>
    <w:rsid w:val="004E3FDF"/>
    <w:rsid w:val="004E48F3"/>
    <w:rsid w:val="004E514D"/>
    <w:rsid w:val="004F257B"/>
    <w:rsid w:val="004F3BE0"/>
    <w:rsid w:val="00505A1B"/>
    <w:rsid w:val="00521129"/>
    <w:rsid w:val="005508DF"/>
    <w:rsid w:val="005714AC"/>
    <w:rsid w:val="00591C60"/>
    <w:rsid w:val="005A0C1B"/>
    <w:rsid w:val="005A3E6C"/>
    <w:rsid w:val="005A7853"/>
    <w:rsid w:val="005C5CE7"/>
    <w:rsid w:val="00602DC3"/>
    <w:rsid w:val="00616E90"/>
    <w:rsid w:val="00621176"/>
    <w:rsid w:val="00626668"/>
    <w:rsid w:val="0062683E"/>
    <w:rsid w:val="00630B4E"/>
    <w:rsid w:val="00640300"/>
    <w:rsid w:val="0064344A"/>
    <w:rsid w:val="006508D9"/>
    <w:rsid w:val="006530AC"/>
    <w:rsid w:val="006542C2"/>
    <w:rsid w:val="00655CF9"/>
    <w:rsid w:val="0066436B"/>
    <w:rsid w:val="00666B05"/>
    <w:rsid w:val="006714DA"/>
    <w:rsid w:val="00673F6F"/>
    <w:rsid w:val="00675F65"/>
    <w:rsid w:val="00681A34"/>
    <w:rsid w:val="006847AA"/>
    <w:rsid w:val="00691DD1"/>
    <w:rsid w:val="006958D6"/>
    <w:rsid w:val="00697677"/>
    <w:rsid w:val="006A43F9"/>
    <w:rsid w:val="006A6F4D"/>
    <w:rsid w:val="006C645C"/>
    <w:rsid w:val="006D7DFE"/>
    <w:rsid w:val="007004CC"/>
    <w:rsid w:val="00700C0A"/>
    <w:rsid w:val="00713F47"/>
    <w:rsid w:val="00725064"/>
    <w:rsid w:val="007253E5"/>
    <w:rsid w:val="00726A4F"/>
    <w:rsid w:val="00726AC5"/>
    <w:rsid w:val="00727F9D"/>
    <w:rsid w:val="007602DF"/>
    <w:rsid w:val="00764D69"/>
    <w:rsid w:val="00772EFA"/>
    <w:rsid w:val="00787B7D"/>
    <w:rsid w:val="00795F0A"/>
    <w:rsid w:val="007B5CAA"/>
    <w:rsid w:val="007B757A"/>
    <w:rsid w:val="007C11DE"/>
    <w:rsid w:val="007C64A8"/>
    <w:rsid w:val="007C6B9A"/>
    <w:rsid w:val="00805027"/>
    <w:rsid w:val="008117B0"/>
    <w:rsid w:val="008160B9"/>
    <w:rsid w:val="00825BB7"/>
    <w:rsid w:val="0084242D"/>
    <w:rsid w:val="00844B6A"/>
    <w:rsid w:val="00850F8C"/>
    <w:rsid w:val="008533FC"/>
    <w:rsid w:val="0086328C"/>
    <w:rsid w:val="00867405"/>
    <w:rsid w:val="00870A76"/>
    <w:rsid w:val="008746C1"/>
    <w:rsid w:val="00876DC6"/>
    <w:rsid w:val="008811A2"/>
    <w:rsid w:val="008A0FC5"/>
    <w:rsid w:val="008B3FA8"/>
    <w:rsid w:val="008B441E"/>
    <w:rsid w:val="008B76AD"/>
    <w:rsid w:val="008C47BB"/>
    <w:rsid w:val="008D67DC"/>
    <w:rsid w:val="008F0F6A"/>
    <w:rsid w:val="008F1E7F"/>
    <w:rsid w:val="008F2B8C"/>
    <w:rsid w:val="008F55F4"/>
    <w:rsid w:val="008F65B1"/>
    <w:rsid w:val="00915A6B"/>
    <w:rsid w:val="00916ABD"/>
    <w:rsid w:val="00920E35"/>
    <w:rsid w:val="00922528"/>
    <w:rsid w:val="00922C16"/>
    <w:rsid w:val="00923A9D"/>
    <w:rsid w:val="00925087"/>
    <w:rsid w:val="00933D23"/>
    <w:rsid w:val="009408D7"/>
    <w:rsid w:val="00942F50"/>
    <w:rsid w:val="00950901"/>
    <w:rsid w:val="0095225F"/>
    <w:rsid w:val="00954A8B"/>
    <w:rsid w:val="00954BBA"/>
    <w:rsid w:val="00957698"/>
    <w:rsid w:val="009719BC"/>
    <w:rsid w:val="00971D78"/>
    <w:rsid w:val="009743CE"/>
    <w:rsid w:val="009769BF"/>
    <w:rsid w:val="00977F8B"/>
    <w:rsid w:val="00980548"/>
    <w:rsid w:val="00987C19"/>
    <w:rsid w:val="009906B2"/>
    <w:rsid w:val="0099766B"/>
    <w:rsid w:val="009A7042"/>
    <w:rsid w:val="009B7C53"/>
    <w:rsid w:val="009C48D7"/>
    <w:rsid w:val="009D1FAA"/>
    <w:rsid w:val="009E75FF"/>
    <w:rsid w:val="009F1CFB"/>
    <w:rsid w:val="00A06ADB"/>
    <w:rsid w:val="00A325FB"/>
    <w:rsid w:val="00A3314E"/>
    <w:rsid w:val="00A4271D"/>
    <w:rsid w:val="00A52323"/>
    <w:rsid w:val="00A52F9B"/>
    <w:rsid w:val="00A550C8"/>
    <w:rsid w:val="00A56480"/>
    <w:rsid w:val="00A725EE"/>
    <w:rsid w:val="00A828B0"/>
    <w:rsid w:val="00AA34B7"/>
    <w:rsid w:val="00AA558A"/>
    <w:rsid w:val="00AB493F"/>
    <w:rsid w:val="00AB6479"/>
    <w:rsid w:val="00AB6B6F"/>
    <w:rsid w:val="00AB709F"/>
    <w:rsid w:val="00AD0F79"/>
    <w:rsid w:val="00AE08E5"/>
    <w:rsid w:val="00B57840"/>
    <w:rsid w:val="00B71A79"/>
    <w:rsid w:val="00B75F68"/>
    <w:rsid w:val="00B80503"/>
    <w:rsid w:val="00B80AA7"/>
    <w:rsid w:val="00B86DAE"/>
    <w:rsid w:val="00B94A80"/>
    <w:rsid w:val="00B95FE5"/>
    <w:rsid w:val="00B96837"/>
    <w:rsid w:val="00BA5642"/>
    <w:rsid w:val="00BB058B"/>
    <w:rsid w:val="00BB6C50"/>
    <w:rsid w:val="00BC133E"/>
    <w:rsid w:val="00BE18DB"/>
    <w:rsid w:val="00BE1924"/>
    <w:rsid w:val="00BF440F"/>
    <w:rsid w:val="00BF6D19"/>
    <w:rsid w:val="00C0016F"/>
    <w:rsid w:val="00C03669"/>
    <w:rsid w:val="00C03E9E"/>
    <w:rsid w:val="00C0510D"/>
    <w:rsid w:val="00C154C7"/>
    <w:rsid w:val="00C21073"/>
    <w:rsid w:val="00C25170"/>
    <w:rsid w:val="00C31A05"/>
    <w:rsid w:val="00C34E17"/>
    <w:rsid w:val="00C35BF5"/>
    <w:rsid w:val="00C4676D"/>
    <w:rsid w:val="00C810BC"/>
    <w:rsid w:val="00C81276"/>
    <w:rsid w:val="00CB19B4"/>
    <w:rsid w:val="00CB4900"/>
    <w:rsid w:val="00CB717A"/>
    <w:rsid w:val="00CC216A"/>
    <w:rsid w:val="00CC3831"/>
    <w:rsid w:val="00CC6033"/>
    <w:rsid w:val="00CC6B8B"/>
    <w:rsid w:val="00CD1FFB"/>
    <w:rsid w:val="00CE3AD7"/>
    <w:rsid w:val="00CE69D4"/>
    <w:rsid w:val="00CF17D0"/>
    <w:rsid w:val="00D021C5"/>
    <w:rsid w:val="00D208DE"/>
    <w:rsid w:val="00D22AF9"/>
    <w:rsid w:val="00D33409"/>
    <w:rsid w:val="00D52A89"/>
    <w:rsid w:val="00D64459"/>
    <w:rsid w:val="00D73417"/>
    <w:rsid w:val="00D90C50"/>
    <w:rsid w:val="00D921DC"/>
    <w:rsid w:val="00DA6834"/>
    <w:rsid w:val="00DA7C89"/>
    <w:rsid w:val="00DD7509"/>
    <w:rsid w:val="00DE2713"/>
    <w:rsid w:val="00DE4B14"/>
    <w:rsid w:val="00DE555A"/>
    <w:rsid w:val="00E051D3"/>
    <w:rsid w:val="00E103F4"/>
    <w:rsid w:val="00E123C9"/>
    <w:rsid w:val="00E22985"/>
    <w:rsid w:val="00E359D3"/>
    <w:rsid w:val="00E3662B"/>
    <w:rsid w:val="00E453E7"/>
    <w:rsid w:val="00E4779E"/>
    <w:rsid w:val="00E61535"/>
    <w:rsid w:val="00E632CD"/>
    <w:rsid w:val="00E70D9B"/>
    <w:rsid w:val="00E878A3"/>
    <w:rsid w:val="00E92897"/>
    <w:rsid w:val="00EA6C34"/>
    <w:rsid w:val="00EB7A8F"/>
    <w:rsid w:val="00EC0499"/>
    <w:rsid w:val="00EC08B8"/>
    <w:rsid w:val="00EC535D"/>
    <w:rsid w:val="00ED2759"/>
    <w:rsid w:val="00F26598"/>
    <w:rsid w:val="00F31151"/>
    <w:rsid w:val="00F35A52"/>
    <w:rsid w:val="00F650F8"/>
    <w:rsid w:val="00F66856"/>
    <w:rsid w:val="00F82F45"/>
    <w:rsid w:val="00F93718"/>
    <w:rsid w:val="00FC178E"/>
    <w:rsid w:val="00FC18DA"/>
    <w:rsid w:val="00FE15A5"/>
    <w:rsid w:val="00FE1FED"/>
    <w:rsid w:val="00FF26C9"/>
    <w:rsid w:val="00FF5FA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47D36"/>
  <w15:chartTrackingRefBased/>
  <w15:docId w15:val="{164EE74A-876F-4D89-8F2D-307CE18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E0"/>
    <w:pPr>
      <w:spacing w:after="0" w:line="360" w:lineRule="auto"/>
      <w:ind w:firstLine="709"/>
      <w:jc w:val="both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41E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unhideWhenUsed/>
    <w:qFormat/>
    <w:rsid w:val="004F3BE0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4E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4E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41E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F3BE0"/>
    <w:rPr>
      <w:rFonts w:eastAsiaTheme="majorEastAsia" w:cstheme="majorBidi"/>
      <w:color w:val="000000" w:themeColor="text1"/>
      <w:szCs w:val="26"/>
      <w:lang w:eastAsia="ru-RU"/>
    </w:rPr>
  </w:style>
  <w:style w:type="character" w:styleId="a3">
    <w:name w:val="footnote reference"/>
    <w:uiPriority w:val="99"/>
    <w:rsid w:val="004F3BE0"/>
    <w:rPr>
      <w:vertAlign w:val="superscript"/>
    </w:rPr>
  </w:style>
  <w:style w:type="paragraph" w:styleId="a4">
    <w:name w:val="footer"/>
    <w:basedOn w:val="a"/>
    <w:link w:val="a5"/>
    <w:uiPriority w:val="99"/>
    <w:unhideWhenUsed/>
    <w:rsid w:val="004F3BE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F3BE0"/>
    <w:rPr>
      <w:rFonts w:eastAsia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F3BE0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F3BE0"/>
    <w:rPr>
      <w:rFonts w:eastAsia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3314E"/>
    <w:rPr>
      <w:rFonts w:ascii="Calibri Light" w:eastAsia="Times New Roman" w:hAnsi="Calibri Light"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3314E"/>
    <w:rPr>
      <w:rFonts w:ascii="Calibri Light" w:eastAsia="Times New Roman" w:hAnsi="Calibri Light"/>
      <w:i/>
      <w:iCs/>
      <w:color w:val="1F376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14E"/>
  </w:style>
  <w:style w:type="numbering" w:customStyle="1" w:styleId="110">
    <w:name w:val="Нет списка11"/>
    <w:next w:val="a2"/>
    <w:uiPriority w:val="99"/>
    <w:semiHidden/>
    <w:unhideWhenUsed/>
    <w:rsid w:val="00A3314E"/>
  </w:style>
  <w:style w:type="character" w:styleId="a8">
    <w:name w:val="Subtle Emphasis"/>
    <w:uiPriority w:val="19"/>
    <w:rsid w:val="00A3314E"/>
    <w:rPr>
      <w:i/>
      <w:iCs/>
      <w:color w:val="404040"/>
    </w:rPr>
  </w:style>
  <w:style w:type="paragraph" w:styleId="a9">
    <w:name w:val="TOC Heading"/>
    <w:basedOn w:val="1"/>
    <w:next w:val="a"/>
    <w:uiPriority w:val="39"/>
    <w:unhideWhenUsed/>
    <w:qFormat/>
    <w:rsid w:val="00A3314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22AF9"/>
    <w:pPr>
      <w:tabs>
        <w:tab w:val="right" w:leader="dot" w:pos="9638"/>
      </w:tabs>
      <w:ind w:firstLine="0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57698"/>
    <w:pPr>
      <w:tabs>
        <w:tab w:val="right" w:leader="dot" w:pos="9638"/>
      </w:tabs>
      <w:ind w:left="284" w:firstLine="0"/>
    </w:pPr>
  </w:style>
  <w:style w:type="paragraph" w:customStyle="1" w:styleId="aa">
    <w:name w:val="Основной"/>
    <w:basedOn w:val="a"/>
    <w:rsid w:val="00A3314E"/>
  </w:style>
  <w:style w:type="paragraph" w:styleId="ab">
    <w:name w:val="Bibliography"/>
    <w:basedOn w:val="a"/>
    <w:next w:val="a"/>
    <w:uiPriority w:val="37"/>
    <w:unhideWhenUsed/>
    <w:rsid w:val="00A3314E"/>
  </w:style>
  <w:style w:type="paragraph" w:styleId="ac">
    <w:name w:val="Title"/>
    <w:basedOn w:val="a"/>
    <w:next w:val="a"/>
    <w:link w:val="ad"/>
    <w:uiPriority w:val="10"/>
    <w:rsid w:val="00A3314E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A3314E"/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paragraph" w:styleId="ae">
    <w:name w:val="header"/>
    <w:basedOn w:val="a"/>
    <w:link w:val="af"/>
    <w:uiPriority w:val="99"/>
    <w:unhideWhenUsed/>
    <w:rsid w:val="00A3314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314E"/>
    <w:rPr>
      <w:rFonts w:eastAsia="Times New Roman"/>
      <w:lang w:eastAsia="ru-RU"/>
    </w:rPr>
  </w:style>
  <w:style w:type="character" w:styleId="af0">
    <w:name w:val="Hyperlink"/>
    <w:uiPriority w:val="99"/>
    <w:unhideWhenUsed/>
    <w:rsid w:val="00A3314E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3314E"/>
    <w:rPr>
      <w:color w:val="808080"/>
      <w:shd w:val="clear" w:color="auto" w:fill="E6E6E6"/>
    </w:rPr>
  </w:style>
  <w:style w:type="table" w:styleId="af1">
    <w:name w:val="Table Grid"/>
    <w:basedOn w:val="a1"/>
    <w:uiPriority w:val="59"/>
    <w:rsid w:val="00A3314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3314E"/>
    <w:rPr>
      <w:rFonts w:ascii="Whitney-Medium" w:hAnsi="Whitney-Medium" w:hint="default"/>
      <w:b w:val="0"/>
      <w:bCs w:val="0"/>
      <w:i w:val="0"/>
      <w:iCs w:val="0"/>
      <w:color w:val="58595B"/>
      <w:sz w:val="34"/>
      <w:szCs w:val="34"/>
    </w:rPr>
  </w:style>
  <w:style w:type="character" w:customStyle="1" w:styleId="fontstyle21">
    <w:name w:val="fontstyle21"/>
    <w:rsid w:val="00A3314E"/>
    <w:rPr>
      <w:rFonts w:ascii="Whitney-Book" w:hAnsi="Whitney-Book" w:hint="default"/>
      <w:b w:val="0"/>
      <w:bCs w:val="0"/>
      <w:i w:val="0"/>
      <w:iCs w:val="0"/>
      <w:color w:val="58595B"/>
      <w:sz w:val="18"/>
      <w:szCs w:val="18"/>
    </w:rPr>
  </w:style>
  <w:style w:type="character" w:customStyle="1" w:styleId="fontstyle31">
    <w:name w:val="fontstyle31"/>
    <w:rsid w:val="00A3314E"/>
    <w:rPr>
      <w:rFonts w:ascii="Whitney-Light" w:hAnsi="Whitney-Light" w:hint="default"/>
      <w:b w:val="0"/>
      <w:bCs w:val="0"/>
      <w:i w:val="0"/>
      <w:iCs w:val="0"/>
      <w:color w:val="58595B"/>
      <w:sz w:val="12"/>
      <w:szCs w:val="12"/>
    </w:rPr>
  </w:style>
  <w:style w:type="paragraph" w:styleId="af2">
    <w:name w:val="List Paragraph"/>
    <w:basedOn w:val="a"/>
    <w:uiPriority w:val="34"/>
    <w:qFormat/>
    <w:rsid w:val="00A3314E"/>
    <w:pPr>
      <w:widowControl w:val="0"/>
      <w:autoSpaceDE w:val="0"/>
      <w:autoSpaceDN w:val="0"/>
      <w:spacing w:line="240" w:lineRule="auto"/>
      <w:ind w:left="708" w:firstLine="567"/>
    </w:pPr>
    <w:rPr>
      <w:kern w:val="24"/>
      <w:sz w:val="24"/>
      <w:szCs w:val="24"/>
    </w:rPr>
  </w:style>
  <w:style w:type="paragraph" w:styleId="af3">
    <w:name w:val="Normal (Web)"/>
    <w:basedOn w:val="a"/>
    <w:uiPriority w:val="99"/>
    <w:unhideWhenUsed/>
    <w:rsid w:val="00A3314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4">
    <w:name w:val="Placeholder Text"/>
    <w:uiPriority w:val="99"/>
    <w:semiHidden/>
    <w:rsid w:val="00A3314E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A331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314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3314E"/>
  </w:style>
  <w:style w:type="paragraph" w:styleId="af7">
    <w:name w:val="No Spacing"/>
    <w:uiPriority w:val="1"/>
    <w:qFormat/>
    <w:rsid w:val="00A3314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A3314E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3314E"/>
    <w:pPr>
      <w:widowControl w:val="0"/>
      <w:shd w:val="clear" w:color="auto" w:fill="FFFFFF"/>
      <w:spacing w:before="420" w:line="322" w:lineRule="exact"/>
      <w:ind w:hanging="360"/>
    </w:pPr>
    <w:rPr>
      <w:lang w:eastAsia="en-US"/>
    </w:rPr>
  </w:style>
  <w:style w:type="character" w:customStyle="1" w:styleId="14">
    <w:name w:val="Заголовок №1_"/>
    <w:basedOn w:val="a0"/>
    <w:link w:val="15"/>
    <w:locked/>
    <w:rsid w:val="00A3314E"/>
    <w:rPr>
      <w:rFonts w:eastAsia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A3314E"/>
    <w:pPr>
      <w:widowControl w:val="0"/>
      <w:shd w:val="clear" w:color="auto" w:fill="FFFFFF"/>
      <w:spacing w:after="420" w:line="0" w:lineRule="atLeast"/>
      <w:ind w:firstLine="0"/>
      <w:outlineLvl w:val="0"/>
    </w:pPr>
    <w:rPr>
      <w:b/>
      <w:bCs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232FF0"/>
  </w:style>
  <w:style w:type="numbering" w:customStyle="1" w:styleId="120">
    <w:name w:val="Нет списка12"/>
    <w:next w:val="a2"/>
    <w:uiPriority w:val="99"/>
    <w:semiHidden/>
    <w:unhideWhenUsed/>
    <w:rsid w:val="00232FF0"/>
  </w:style>
  <w:style w:type="numbering" w:customStyle="1" w:styleId="210">
    <w:name w:val="Нет списка21"/>
    <w:next w:val="a2"/>
    <w:uiPriority w:val="99"/>
    <w:semiHidden/>
    <w:unhideWhenUsed/>
    <w:rsid w:val="00232FF0"/>
  </w:style>
  <w:style w:type="table" w:customStyle="1" w:styleId="16">
    <w:name w:val="Сетка таблицы1"/>
    <w:basedOn w:val="a1"/>
    <w:next w:val="af1"/>
    <w:uiPriority w:val="59"/>
    <w:rsid w:val="00FC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1"/>
    <w:uiPriority w:val="59"/>
    <w:rsid w:val="00FC18DA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1"/>
    <w:uiPriority w:val="59"/>
    <w:rsid w:val="00942F5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495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242388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6">
    <w:name w:val="Plain Table 2"/>
    <w:basedOn w:val="a1"/>
    <w:uiPriority w:val="42"/>
    <w:rsid w:val="00242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B2F5-9F39-48A1-A9EB-F4705CD0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OO-0197</dc:creator>
  <cp:keywords/>
  <dc:description/>
  <cp:lastModifiedBy>Ivan V.</cp:lastModifiedBy>
  <cp:revision>10</cp:revision>
  <cp:lastPrinted>2022-06-16T06:37:00Z</cp:lastPrinted>
  <dcterms:created xsi:type="dcterms:W3CDTF">2022-11-26T04:12:00Z</dcterms:created>
  <dcterms:modified xsi:type="dcterms:W3CDTF">2025-01-26T06:23:00Z</dcterms:modified>
</cp:coreProperties>
</file>