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4374" w14:textId="77777777" w:rsidR="00CA1880" w:rsidRPr="001D26B3" w:rsidRDefault="00761119" w:rsidP="00CC574C">
      <w:pPr>
        <w:spacing w:line="480" w:lineRule="auto"/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561"/>
      </w:tblGrid>
      <w:tr w:rsidR="001D26B3" w:rsidRPr="001D26B3" w14:paraId="02EB374C" w14:textId="77777777" w:rsidTr="00DB079F">
        <w:tc>
          <w:tcPr>
            <w:tcW w:w="8784" w:type="dxa"/>
          </w:tcPr>
          <w:p w14:paraId="08CA983A" w14:textId="77777777" w:rsidR="00057091" w:rsidRPr="001D26B3" w:rsidRDefault="00057091" w:rsidP="004274E6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1D26B3">
              <w:rPr>
                <w:rFonts w:cs="Times New Roman"/>
                <w:szCs w:val="28"/>
                <w:shd w:val="clear" w:color="auto" w:fill="FFFFFF"/>
              </w:rPr>
              <w:t>В</w:t>
            </w:r>
            <w:r w:rsidR="00B74E7C" w:rsidRPr="001D26B3">
              <w:rPr>
                <w:rFonts w:cs="Times New Roman"/>
                <w:szCs w:val="28"/>
                <w:shd w:val="clear" w:color="auto" w:fill="FFFFFF"/>
              </w:rPr>
              <w:t>ведение</w:t>
            </w:r>
            <w:r w:rsidR="00FB7FA8" w:rsidRPr="001D26B3">
              <w:rPr>
                <w:rFonts w:cs="Times New Roman"/>
                <w:szCs w:val="28"/>
                <w:shd w:val="clear" w:color="auto" w:fill="FFFFFF"/>
              </w:rPr>
              <w:t>…………………………………………………………………</w:t>
            </w:r>
            <w:r w:rsidR="00B74E7C">
              <w:rPr>
                <w:rFonts w:cs="Times New Roman"/>
                <w:szCs w:val="28"/>
                <w:shd w:val="clear" w:color="auto" w:fill="FFFFFF"/>
              </w:rPr>
              <w:t>…</w:t>
            </w:r>
          </w:p>
        </w:tc>
        <w:tc>
          <w:tcPr>
            <w:tcW w:w="561" w:type="dxa"/>
          </w:tcPr>
          <w:p w14:paraId="5F3EAFCD" w14:textId="77777777" w:rsidR="00057091" w:rsidRPr="001D26B3" w:rsidRDefault="00FB7FA8" w:rsidP="00057091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1D26B3">
              <w:rPr>
                <w:rFonts w:cs="Times New Roman"/>
                <w:szCs w:val="28"/>
                <w:shd w:val="clear" w:color="auto" w:fill="FFFFFF"/>
              </w:rPr>
              <w:t>3</w:t>
            </w:r>
          </w:p>
        </w:tc>
      </w:tr>
      <w:tr w:rsidR="001D26B3" w:rsidRPr="001D26B3" w14:paraId="0B23F60D" w14:textId="77777777" w:rsidTr="00DB079F">
        <w:trPr>
          <w:trHeight w:val="765"/>
        </w:trPr>
        <w:tc>
          <w:tcPr>
            <w:tcW w:w="8784" w:type="dxa"/>
          </w:tcPr>
          <w:p w14:paraId="14B520B3" w14:textId="77777777" w:rsidR="00057091" w:rsidRPr="001D26B3" w:rsidRDefault="00761119" w:rsidP="00953D5D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1</w:t>
            </w:r>
            <w:r w:rsidR="00B74E7C" w:rsidRPr="001D26B3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bookmarkStart w:id="0" w:name="_Hlk167521568"/>
            <w:r w:rsidR="00987BD1">
              <w:rPr>
                <w:rFonts w:cs="Times New Roman"/>
                <w:szCs w:val="28"/>
                <w:shd w:val="clear" w:color="auto" w:fill="FFFFFF"/>
              </w:rPr>
              <w:t>Теоретические аспекты п</w:t>
            </w:r>
            <w:r w:rsidR="00856D9C" w:rsidRPr="00856D9C">
              <w:rPr>
                <w:rFonts w:cs="Times New Roman"/>
                <w:szCs w:val="28"/>
                <w:shd w:val="clear" w:color="auto" w:fill="FFFFFF"/>
              </w:rPr>
              <w:t>одготовк</w:t>
            </w:r>
            <w:r w:rsidR="00987BD1">
              <w:rPr>
                <w:rFonts w:cs="Times New Roman"/>
                <w:szCs w:val="28"/>
                <w:shd w:val="clear" w:color="auto" w:fill="FFFFFF"/>
              </w:rPr>
              <w:t>и</w:t>
            </w:r>
            <w:r w:rsidR="00856D9C" w:rsidRPr="00856D9C">
              <w:rPr>
                <w:rFonts w:cs="Times New Roman"/>
                <w:szCs w:val="28"/>
                <w:shd w:val="clear" w:color="auto" w:fill="FFFFFF"/>
              </w:rPr>
              <w:t xml:space="preserve"> гражданских</w:t>
            </w:r>
            <w:r w:rsidR="00856D9C">
              <w:rPr>
                <w:rFonts w:cs="Times New Roman"/>
                <w:szCs w:val="28"/>
                <w:shd w:val="clear" w:color="auto" w:fill="FFFFFF"/>
              </w:rPr>
              <w:t>, уголовных и административных</w:t>
            </w:r>
            <w:r w:rsidR="00856D9C" w:rsidRPr="00856D9C">
              <w:rPr>
                <w:rFonts w:cs="Times New Roman"/>
                <w:szCs w:val="28"/>
                <w:shd w:val="clear" w:color="auto" w:fill="FFFFFF"/>
              </w:rPr>
              <w:t xml:space="preserve"> дел к судебному разбирательству как стадия процесса</w:t>
            </w:r>
            <w:bookmarkEnd w:id="0"/>
            <w:r w:rsidR="00B74E7C">
              <w:rPr>
                <w:rFonts w:cs="Times New Roman"/>
                <w:szCs w:val="28"/>
                <w:shd w:val="clear" w:color="auto" w:fill="FFFFFF"/>
              </w:rPr>
              <w:t>…………………</w:t>
            </w:r>
            <w:r w:rsidR="00856D9C">
              <w:rPr>
                <w:rFonts w:cs="Times New Roman"/>
                <w:szCs w:val="28"/>
                <w:shd w:val="clear" w:color="auto" w:fill="FFFFFF"/>
              </w:rPr>
              <w:t>……</w:t>
            </w:r>
            <w:r w:rsidR="00987BD1">
              <w:rPr>
                <w:rFonts w:cs="Times New Roman"/>
                <w:szCs w:val="28"/>
                <w:shd w:val="clear" w:color="auto" w:fill="FFFFFF"/>
              </w:rPr>
              <w:t>……………………………………………...</w:t>
            </w:r>
          </w:p>
        </w:tc>
        <w:tc>
          <w:tcPr>
            <w:tcW w:w="561" w:type="dxa"/>
          </w:tcPr>
          <w:p w14:paraId="03B42E74" w14:textId="77777777" w:rsidR="00FB7FA8" w:rsidRPr="00856D9C" w:rsidRDefault="00FB7FA8" w:rsidP="00856D9C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</w:p>
          <w:p w14:paraId="3266BDD5" w14:textId="77777777" w:rsidR="00987BD1" w:rsidRDefault="00987BD1" w:rsidP="00B74E7C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</w:p>
          <w:p w14:paraId="2A8D55DE" w14:textId="77777777" w:rsidR="00057091" w:rsidRPr="001D26B3" w:rsidRDefault="00FB7FA8" w:rsidP="00B74E7C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1D26B3">
              <w:rPr>
                <w:rFonts w:cs="Times New Roman"/>
                <w:szCs w:val="28"/>
                <w:shd w:val="clear" w:color="auto" w:fill="FFFFFF"/>
              </w:rPr>
              <w:t>6</w:t>
            </w:r>
          </w:p>
        </w:tc>
      </w:tr>
      <w:tr w:rsidR="001D26B3" w:rsidRPr="001D26B3" w14:paraId="577C0E33" w14:textId="77777777" w:rsidTr="00DB079F">
        <w:tc>
          <w:tcPr>
            <w:tcW w:w="8784" w:type="dxa"/>
          </w:tcPr>
          <w:p w14:paraId="7DA30060" w14:textId="77777777" w:rsidR="00057091" w:rsidRPr="001D26B3" w:rsidRDefault="00057091" w:rsidP="00953D5D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1D26B3">
              <w:rPr>
                <w:rFonts w:cs="Times New Roman"/>
                <w:szCs w:val="28"/>
                <w:shd w:val="clear" w:color="auto" w:fill="FFFFFF"/>
              </w:rPr>
              <w:t xml:space="preserve">1.1 </w:t>
            </w:r>
            <w:bookmarkStart w:id="1" w:name="_Hlk167521312"/>
            <w:r w:rsidR="00856D9C" w:rsidRPr="00856D9C">
              <w:rPr>
                <w:rFonts w:cs="Times New Roman"/>
                <w:szCs w:val="28"/>
                <w:shd w:val="clear" w:color="auto" w:fill="FFFFFF"/>
              </w:rPr>
              <w:t>Подготовка дела к судебному разбирательству и ее значение на современном этапе развития</w:t>
            </w:r>
            <w:bookmarkEnd w:id="1"/>
            <w:r w:rsidR="00856D9C">
              <w:rPr>
                <w:rFonts w:cs="Times New Roman"/>
                <w:szCs w:val="28"/>
                <w:shd w:val="clear" w:color="auto" w:fill="FFFFFF"/>
              </w:rPr>
              <w:t>………………………………………….</w:t>
            </w:r>
            <w:r w:rsidR="00FB7FA8" w:rsidRPr="001D26B3">
              <w:rPr>
                <w:rFonts w:cs="Times New Roman"/>
                <w:szCs w:val="28"/>
                <w:shd w:val="clear" w:color="auto" w:fill="FFFFFF"/>
              </w:rPr>
              <w:t>……</w:t>
            </w:r>
          </w:p>
        </w:tc>
        <w:tc>
          <w:tcPr>
            <w:tcW w:w="561" w:type="dxa"/>
          </w:tcPr>
          <w:p w14:paraId="715250CB" w14:textId="77777777" w:rsidR="00856D9C" w:rsidRDefault="00856D9C" w:rsidP="00B74E7C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</w:p>
          <w:p w14:paraId="7DF26791" w14:textId="77777777" w:rsidR="00057091" w:rsidRPr="001D26B3" w:rsidRDefault="00FB7FA8" w:rsidP="00B74E7C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1D26B3">
              <w:rPr>
                <w:rFonts w:cs="Times New Roman"/>
                <w:szCs w:val="28"/>
                <w:shd w:val="clear" w:color="auto" w:fill="FFFFFF"/>
              </w:rPr>
              <w:t>6</w:t>
            </w:r>
          </w:p>
        </w:tc>
      </w:tr>
      <w:tr w:rsidR="001D26B3" w:rsidRPr="001D26B3" w14:paraId="194F39FE" w14:textId="77777777" w:rsidTr="00DB079F">
        <w:tc>
          <w:tcPr>
            <w:tcW w:w="8784" w:type="dxa"/>
          </w:tcPr>
          <w:p w14:paraId="4D39A35A" w14:textId="77777777" w:rsidR="00057091" w:rsidRPr="001D26B3" w:rsidRDefault="00057091" w:rsidP="00953D5D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1D26B3">
              <w:rPr>
                <w:rFonts w:cs="Times New Roman"/>
                <w:szCs w:val="28"/>
                <w:shd w:val="clear" w:color="auto" w:fill="FFFFFF"/>
              </w:rPr>
              <w:t>1.2 Квалификационные и иные требования к лицам, занимающи</w:t>
            </w:r>
            <w:r w:rsidR="00B74E7C">
              <w:rPr>
                <w:rFonts w:cs="Times New Roman"/>
                <w:szCs w:val="28"/>
                <w:shd w:val="clear" w:color="auto" w:fill="FFFFFF"/>
              </w:rPr>
              <w:t xml:space="preserve">м должности секретаря судебного </w:t>
            </w:r>
            <w:r w:rsidRPr="001D26B3">
              <w:rPr>
                <w:rFonts w:cs="Times New Roman"/>
                <w:szCs w:val="28"/>
                <w:shd w:val="clear" w:color="auto" w:fill="FFFFFF"/>
              </w:rPr>
              <w:t>заседания</w:t>
            </w:r>
            <w:r w:rsidR="00FB7FA8" w:rsidRPr="001D26B3">
              <w:rPr>
                <w:rFonts w:cs="Times New Roman"/>
                <w:szCs w:val="28"/>
                <w:shd w:val="clear" w:color="auto" w:fill="FFFFFF"/>
              </w:rPr>
              <w:t>………</w:t>
            </w:r>
            <w:r w:rsidR="00B74E7C">
              <w:rPr>
                <w:rFonts w:cs="Times New Roman"/>
                <w:szCs w:val="28"/>
                <w:shd w:val="clear" w:color="auto" w:fill="FFFFFF"/>
              </w:rPr>
              <w:t>……………………</w:t>
            </w:r>
            <w:r w:rsidR="0052334E">
              <w:rPr>
                <w:rFonts w:cs="Times New Roman"/>
                <w:szCs w:val="28"/>
                <w:shd w:val="clear" w:color="auto" w:fill="FFFFFF"/>
              </w:rPr>
              <w:t>….</w:t>
            </w:r>
          </w:p>
        </w:tc>
        <w:tc>
          <w:tcPr>
            <w:tcW w:w="561" w:type="dxa"/>
          </w:tcPr>
          <w:p w14:paraId="373C91F5" w14:textId="77777777" w:rsidR="00FB7FA8" w:rsidRPr="001D26B3" w:rsidRDefault="00FB7FA8" w:rsidP="00057091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</w:p>
          <w:p w14:paraId="29B82AD0" w14:textId="77777777" w:rsidR="00057091" w:rsidRPr="001D26B3" w:rsidRDefault="00FB7FA8" w:rsidP="00C025E7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1D26B3">
              <w:rPr>
                <w:rFonts w:cs="Times New Roman"/>
                <w:szCs w:val="28"/>
                <w:shd w:val="clear" w:color="auto" w:fill="FFFFFF"/>
              </w:rPr>
              <w:t>1</w:t>
            </w:r>
            <w:r w:rsidR="00DB079F">
              <w:rPr>
                <w:rFonts w:cs="Times New Roman"/>
                <w:szCs w:val="28"/>
                <w:shd w:val="clear" w:color="auto" w:fill="FFFFFF"/>
              </w:rPr>
              <w:t>2</w:t>
            </w:r>
          </w:p>
        </w:tc>
      </w:tr>
      <w:tr w:rsidR="001D26B3" w:rsidRPr="001D26B3" w14:paraId="55B173BD" w14:textId="77777777" w:rsidTr="00DB079F">
        <w:tc>
          <w:tcPr>
            <w:tcW w:w="8784" w:type="dxa"/>
          </w:tcPr>
          <w:p w14:paraId="0F70833E" w14:textId="77777777" w:rsidR="00057091" w:rsidRPr="009B20C6" w:rsidRDefault="009B20C6" w:rsidP="00953D5D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9B20C6">
              <w:rPr>
                <w:rFonts w:cs="Times New Roman"/>
                <w:szCs w:val="28"/>
                <w:shd w:val="clear" w:color="auto" w:fill="FFFFFF"/>
              </w:rPr>
              <w:t>1.3 Непосредственность, устность, гласность, судебного разбирательства, неизменность состава суда</w:t>
            </w:r>
            <w:r>
              <w:rPr>
                <w:rFonts w:cs="Times New Roman"/>
                <w:szCs w:val="28"/>
                <w:shd w:val="clear" w:color="auto" w:fill="FFFFFF"/>
              </w:rPr>
              <w:t>……………………………..</w:t>
            </w:r>
          </w:p>
        </w:tc>
        <w:tc>
          <w:tcPr>
            <w:tcW w:w="561" w:type="dxa"/>
          </w:tcPr>
          <w:p w14:paraId="6A679D50" w14:textId="77777777" w:rsidR="009B20C6" w:rsidRPr="009B20C6" w:rsidRDefault="009B20C6" w:rsidP="004672D3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</w:p>
          <w:p w14:paraId="240B0452" w14:textId="77777777" w:rsidR="00057091" w:rsidRPr="001D26B3" w:rsidRDefault="00FB7FA8" w:rsidP="004672D3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1D26B3">
              <w:rPr>
                <w:rFonts w:cs="Times New Roman"/>
                <w:szCs w:val="28"/>
                <w:shd w:val="clear" w:color="auto" w:fill="FFFFFF"/>
              </w:rPr>
              <w:t>1</w:t>
            </w:r>
            <w:r w:rsidR="00DB079F">
              <w:rPr>
                <w:rFonts w:cs="Times New Roman"/>
                <w:szCs w:val="28"/>
                <w:shd w:val="clear" w:color="auto" w:fill="FFFFFF"/>
              </w:rPr>
              <w:t>6</w:t>
            </w:r>
          </w:p>
        </w:tc>
      </w:tr>
      <w:tr w:rsidR="001D26B3" w:rsidRPr="001D26B3" w14:paraId="7FFFE663" w14:textId="77777777" w:rsidTr="00DB079F">
        <w:trPr>
          <w:trHeight w:val="1130"/>
        </w:trPr>
        <w:tc>
          <w:tcPr>
            <w:tcW w:w="8784" w:type="dxa"/>
          </w:tcPr>
          <w:p w14:paraId="13B1EB1C" w14:textId="77777777" w:rsidR="00057091" w:rsidRPr="001D26B3" w:rsidRDefault="00B74E7C" w:rsidP="00953D5D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1D26B3">
              <w:rPr>
                <w:rFonts w:cs="Times New Roman"/>
                <w:szCs w:val="28"/>
                <w:shd w:val="clear" w:color="auto" w:fill="FFFFFF"/>
              </w:rPr>
              <w:t>2</w:t>
            </w:r>
            <w:r w:rsidR="0097780F">
              <w:t xml:space="preserve"> </w:t>
            </w:r>
            <w:bookmarkStart w:id="2" w:name="_Hlk167536293"/>
            <w:r w:rsidR="0097780F" w:rsidRPr="0097780F">
              <w:rPr>
                <w:rFonts w:cs="Times New Roman"/>
                <w:szCs w:val="28"/>
                <w:shd w:val="clear" w:color="auto" w:fill="FFFFFF"/>
              </w:rPr>
              <w:t>Организация работы по подготовке уголовных, гражданских, административных дел к судебному разбирательству</w:t>
            </w:r>
            <w:bookmarkEnd w:id="2"/>
            <w:r w:rsidR="0097780F">
              <w:rPr>
                <w:rFonts w:cs="Times New Roman"/>
                <w:szCs w:val="28"/>
                <w:shd w:val="clear" w:color="auto" w:fill="FFFFFF"/>
              </w:rPr>
              <w:t>…………………...</w:t>
            </w:r>
          </w:p>
        </w:tc>
        <w:tc>
          <w:tcPr>
            <w:tcW w:w="561" w:type="dxa"/>
          </w:tcPr>
          <w:p w14:paraId="2B9555A8" w14:textId="77777777" w:rsidR="00FB7FA8" w:rsidRPr="001D26B3" w:rsidRDefault="00FB7FA8" w:rsidP="00057091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</w:p>
          <w:p w14:paraId="1B03E89F" w14:textId="77777777" w:rsidR="00057091" w:rsidRPr="001D26B3" w:rsidRDefault="00D70C91" w:rsidP="0097780F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2</w:t>
            </w:r>
            <w:r w:rsidR="00DB079F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</w:tr>
      <w:tr w:rsidR="00856D9C" w:rsidRPr="001D26B3" w14:paraId="567A9E51" w14:textId="77777777" w:rsidTr="00DB079F">
        <w:trPr>
          <w:trHeight w:val="515"/>
        </w:trPr>
        <w:tc>
          <w:tcPr>
            <w:tcW w:w="8784" w:type="dxa"/>
          </w:tcPr>
          <w:p w14:paraId="173660E0" w14:textId="77777777" w:rsidR="00856D9C" w:rsidRPr="001D26B3" w:rsidRDefault="00856D9C" w:rsidP="00953D5D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bookmarkStart w:id="3" w:name="_Hlk167536260"/>
            <w:bookmarkStart w:id="4" w:name="_Hlk167521389"/>
            <w:r>
              <w:rPr>
                <w:rFonts w:cs="Times New Roman"/>
                <w:szCs w:val="28"/>
                <w:shd w:val="clear" w:color="auto" w:fill="FFFFFF"/>
              </w:rPr>
              <w:t xml:space="preserve">2.1 </w:t>
            </w:r>
            <w:r w:rsidRPr="00856D9C">
              <w:rPr>
                <w:rFonts w:cs="Times New Roman"/>
                <w:szCs w:val="28"/>
                <w:shd w:val="clear" w:color="auto" w:fill="FFFFFF"/>
              </w:rPr>
              <w:t>Действия судьи при подготовке дела к судебному разбирательству</w:t>
            </w:r>
            <w:bookmarkEnd w:id="3"/>
          </w:p>
        </w:tc>
        <w:tc>
          <w:tcPr>
            <w:tcW w:w="561" w:type="dxa"/>
          </w:tcPr>
          <w:p w14:paraId="1C2F1D10" w14:textId="77777777" w:rsidR="00856D9C" w:rsidRPr="001D26B3" w:rsidRDefault="00856D9C" w:rsidP="00057091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2</w:t>
            </w:r>
            <w:r w:rsidR="00DB079F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</w:tr>
      <w:bookmarkEnd w:id="4"/>
      <w:tr w:rsidR="001D26B3" w:rsidRPr="001D26B3" w14:paraId="10B1FCA2" w14:textId="77777777" w:rsidTr="00DB079F">
        <w:trPr>
          <w:trHeight w:val="992"/>
        </w:trPr>
        <w:tc>
          <w:tcPr>
            <w:tcW w:w="8784" w:type="dxa"/>
          </w:tcPr>
          <w:p w14:paraId="39186969" w14:textId="77777777" w:rsidR="00057091" w:rsidRPr="001D26B3" w:rsidRDefault="00057091" w:rsidP="00953D5D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1D26B3">
              <w:rPr>
                <w:rFonts w:cs="Times New Roman"/>
                <w:szCs w:val="28"/>
                <w:shd w:val="clear" w:color="auto" w:fill="FFFFFF"/>
              </w:rPr>
              <w:t>2.</w:t>
            </w:r>
            <w:r w:rsidR="00856D9C">
              <w:rPr>
                <w:rFonts w:cs="Times New Roman"/>
                <w:szCs w:val="28"/>
                <w:shd w:val="clear" w:color="auto" w:fill="FFFFFF"/>
              </w:rPr>
              <w:t>2</w:t>
            </w:r>
            <w:r w:rsidRPr="001D26B3">
              <w:rPr>
                <w:rFonts w:cs="Times New Roman"/>
                <w:szCs w:val="28"/>
                <w:shd w:val="clear" w:color="auto" w:fill="FFFFFF"/>
              </w:rPr>
              <w:t xml:space="preserve"> Организация работы секретаря судебного заседания по подготовке уголовных дел к судебному разбирательству </w:t>
            </w:r>
            <w:r w:rsidR="00FB7FA8" w:rsidRPr="001D26B3">
              <w:rPr>
                <w:rFonts w:cs="Times New Roman"/>
                <w:szCs w:val="28"/>
                <w:shd w:val="clear" w:color="auto" w:fill="FFFFFF"/>
              </w:rPr>
              <w:t>…………</w:t>
            </w:r>
            <w:r w:rsidR="00B74E7C">
              <w:rPr>
                <w:rFonts w:cs="Times New Roman"/>
                <w:szCs w:val="28"/>
                <w:shd w:val="clear" w:color="auto" w:fill="FFFFFF"/>
              </w:rPr>
              <w:t>………………..</w:t>
            </w:r>
            <w:r w:rsidR="00151DAB">
              <w:rPr>
                <w:rFonts w:cs="Times New Roman"/>
                <w:szCs w:val="28"/>
                <w:shd w:val="clear" w:color="auto" w:fill="FFFFFF"/>
              </w:rPr>
              <w:t>.</w:t>
            </w:r>
            <w:r w:rsidR="00B74E7C">
              <w:rPr>
                <w:rFonts w:cs="Times New Roman"/>
                <w:szCs w:val="28"/>
                <w:shd w:val="clear" w:color="auto" w:fill="FFFFFF"/>
              </w:rPr>
              <w:t>.</w:t>
            </w:r>
          </w:p>
        </w:tc>
        <w:tc>
          <w:tcPr>
            <w:tcW w:w="561" w:type="dxa"/>
          </w:tcPr>
          <w:p w14:paraId="7890AEC4" w14:textId="77777777" w:rsidR="00FB7FA8" w:rsidRPr="001D26B3" w:rsidRDefault="00FB7FA8" w:rsidP="00FB7FA8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</w:p>
          <w:p w14:paraId="618D9C4C" w14:textId="77777777" w:rsidR="00057091" w:rsidRPr="001D26B3" w:rsidRDefault="00DB079F" w:rsidP="00FB7FA8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31</w:t>
            </w:r>
          </w:p>
        </w:tc>
      </w:tr>
      <w:tr w:rsidR="001D26B3" w:rsidRPr="001D26B3" w14:paraId="2738890D" w14:textId="77777777" w:rsidTr="00DB079F">
        <w:trPr>
          <w:trHeight w:val="1005"/>
        </w:trPr>
        <w:tc>
          <w:tcPr>
            <w:tcW w:w="8784" w:type="dxa"/>
          </w:tcPr>
          <w:p w14:paraId="17359158" w14:textId="77777777" w:rsidR="00057091" w:rsidRPr="001D26B3" w:rsidRDefault="00057091" w:rsidP="00953D5D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bookmarkStart w:id="5" w:name="_Hlk153091739"/>
            <w:r w:rsidRPr="001D26B3">
              <w:rPr>
                <w:rFonts w:cs="Times New Roman"/>
                <w:szCs w:val="28"/>
                <w:shd w:val="clear" w:color="auto" w:fill="FFFFFF"/>
              </w:rPr>
              <w:t>2.</w:t>
            </w:r>
            <w:r w:rsidR="00856D9C">
              <w:rPr>
                <w:rFonts w:cs="Times New Roman"/>
                <w:szCs w:val="28"/>
                <w:shd w:val="clear" w:color="auto" w:fill="FFFFFF"/>
              </w:rPr>
              <w:t>3</w:t>
            </w:r>
            <w:r w:rsidRPr="001D26B3">
              <w:rPr>
                <w:rFonts w:cs="Times New Roman"/>
                <w:szCs w:val="28"/>
                <w:shd w:val="clear" w:color="auto" w:fill="FFFFFF"/>
              </w:rPr>
              <w:t xml:space="preserve"> Организация работы секретаря судебного заседания по подготовке гражданских дел к судебному разбирательству </w:t>
            </w:r>
            <w:bookmarkEnd w:id="5"/>
            <w:r w:rsidR="00FB7FA8" w:rsidRPr="001D26B3">
              <w:rPr>
                <w:rFonts w:cs="Times New Roman"/>
                <w:szCs w:val="28"/>
                <w:shd w:val="clear" w:color="auto" w:fill="FFFFFF"/>
              </w:rPr>
              <w:t>…</w:t>
            </w:r>
            <w:r w:rsidR="00B74E7C">
              <w:rPr>
                <w:rFonts w:cs="Times New Roman"/>
                <w:szCs w:val="28"/>
                <w:shd w:val="clear" w:color="auto" w:fill="FFFFFF"/>
              </w:rPr>
              <w:t>……………………..</w:t>
            </w:r>
            <w:r w:rsidR="00FB7FA8" w:rsidRPr="001D26B3">
              <w:rPr>
                <w:rFonts w:cs="Times New Roman"/>
                <w:szCs w:val="28"/>
                <w:shd w:val="clear" w:color="auto" w:fill="FFFFFF"/>
              </w:rPr>
              <w:t>.</w:t>
            </w:r>
            <w:r w:rsidR="00151DAB">
              <w:rPr>
                <w:rFonts w:cs="Times New Roman"/>
                <w:szCs w:val="28"/>
                <w:shd w:val="clear" w:color="auto" w:fill="FFFFFF"/>
              </w:rPr>
              <w:t>..</w:t>
            </w:r>
          </w:p>
        </w:tc>
        <w:tc>
          <w:tcPr>
            <w:tcW w:w="561" w:type="dxa"/>
          </w:tcPr>
          <w:p w14:paraId="7D15A32C" w14:textId="77777777" w:rsidR="00FB7FA8" w:rsidRPr="001D26B3" w:rsidRDefault="00FB7FA8" w:rsidP="00057091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</w:p>
          <w:p w14:paraId="4221D6C1" w14:textId="77777777" w:rsidR="00057091" w:rsidRPr="001D26B3" w:rsidRDefault="00DB079F" w:rsidP="00057091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33</w:t>
            </w:r>
          </w:p>
        </w:tc>
      </w:tr>
      <w:tr w:rsidR="001D26B3" w:rsidRPr="001D26B3" w14:paraId="7DC869FD" w14:textId="77777777" w:rsidTr="00DB079F">
        <w:trPr>
          <w:trHeight w:val="255"/>
        </w:trPr>
        <w:tc>
          <w:tcPr>
            <w:tcW w:w="8784" w:type="dxa"/>
          </w:tcPr>
          <w:p w14:paraId="3EEE7085" w14:textId="77777777" w:rsidR="00057091" w:rsidRPr="001D26B3" w:rsidRDefault="00057091" w:rsidP="00953D5D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1D26B3">
              <w:rPr>
                <w:rFonts w:cs="Times New Roman"/>
                <w:szCs w:val="28"/>
                <w:shd w:val="clear" w:color="auto" w:fill="FFFFFF"/>
              </w:rPr>
              <w:t>2.</w:t>
            </w:r>
            <w:r w:rsidR="00856D9C">
              <w:rPr>
                <w:rFonts w:cs="Times New Roman"/>
                <w:szCs w:val="28"/>
                <w:shd w:val="clear" w:color="auto" w:fill="FFFFFF"/>
              </w:rPr>
              <w:t>4</w:t>
            </w:r>
            <w:r w:rsidRPr="001D26B3">
              <w:rPr>
                <w:rFonts w:cs="Times New Roman"/>
                <w:szCs w:val="28"/>
                <w:shd w:val="clear" w:color="auto" w:fill="FFFFFF"/>
              </w:rPr>
              <w:t xml:space="preserve"> Организация работы секретаря судебного заседания по подготовке административных дел к судебному разбирательству </w:t>
            </w:r>
            <w:r w:rsidR="00FB7FA8" w:rsidRPr="001D26B3">
              <w:rPr>
                <w:rFonts w:cs="Times New Roman"/>
                <w:szCs w:val="28"/>
                <w:shd w:val="clear" w:color="auto" w:fill="FFFFFF"/>
              </w:rPr>
              <w:t>………………</w:t>
            </w:r>
            <w:r w:rsidR="00B74E7C">
              <w:rPr>
                <w:rFonts w:cs="Times New Roman"/>
                <w:szCs w:val="28"/>
                <w:shd w:val="clear" w:color="auto" w:fill="FFFFFF"/>
              </w:rPr>
              <w:t>…..</w:t>
            </w:r>
          </w:p>
        </w:tc>
        <w:tc>
          <w:tcPr>
            <w:tcW w:w="561" w:type="dxa"/>
          </w:tcPr>
          <w:p w14:paraId="5C5F6C04" w14:textId="77777777" w:rsidR="00FB7FA8" w:rsidRPr="001D26B3" w:rsidRDefault="00FB7FA8" w:rsidP="00057091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</w:p>
          <w:p w14:paraId="53BFBD27" w14:textId="77777777" w:rsidR="00057091" w:rsidRPr="001D26B3" w:rsidRDefault="00D70C91" w:rsidP="00057091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3</w:t>
            </w:r>
            <w:r w:rsidR="00DB079F">
              <w:rPr>
                <w:rFonts w:cs="Times New Roman"/>
                <w:szCs w:val="28"/>
                <w:shd w:val="clear" w:color="auto" w:fill="FFFFFF"/>
              </w:rPr>
              <w:t>6</w:t>
            </w:r>
          </w:p>
        </w:tc>
      </w:tr>
      <w:tr w:rsidR="001D26B3" w:rsidRPr="001D26B3" w14:paraId="08F97EEA" w14:textId="77777777" w:rsidTr="00DB079F">
        <w:trPr>
          <w:trHeight w:val="1140"/>
        </w:trPr>
        <w:tc>
          <w:tcPr>
            <w:tcW w:w="8784" w:type="dxa"/>
          </w:tcPr>
          <w:p w14:paraId="0C971389" w14:textId="77777777" w:rsidR="00533F23" w:rsidRPr="001D26B3" w:rsidRDefault="00B74E7C" w:rsidP="00953D5D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1D26B3">
              <w:rPr>
                <w:rFonts w:cs="Times New Roman"/>
                <w:szCs w:val="28"/>
                <w:shd w:val="clear" w:color="auto" w:fill="FFFFFF"/>
              </w:rPr>
              <w:t xml:space="preserve"> 3</w:t>
            </w:r>
            <w:bookmarkStart w:id="6" w:name="_Hlk167537898"/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="00353CF5">
              <w:rPr>
                <w:rFonts w:cs="Times New Roman"/>
                <w:szCs w:val="28"/>
                <w:shd w:val="clear" w:color="auto" w:fill="FFFFFF"/>
              </w:rPr>
              <w:t>П</w:t>
            </w:r>
            <w:r w:rsidR="00353CF5" w:rsidRPr="00353CF5">
              <w:rPr>
                <w:rFonts w:cs="Times New Roman"/>
                <w:szCs w:val="28"/>
                <w:shd w:val="clear" w:color="auto" w:fill="FFFFFF"/>
              </w:rPr>
              <w:t>роблем</w:t>
            </w:r>
            <w:r w:rsidR="00353CF5">
              <w:rPr>
                <w:rFonts w:cs="Times New Roman"/>
                <w:szCs w:val="28"/>
                <w:shd w:val="clear" w:color="auto" w:fill="FFFFFF"/>
              </w:rPr>
              <w:t>ы</w:t>
            </w:r>
            <w:r w:rsidR="00353CF5" w:rsidRPr="00353CF5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="00533F23">
              <w:rPr>
                <w:rFonts w:cs="Times New Roman"/>
                <w:szCs w:val="28"/>
                <w:shd w:val="clear" w:color="auto" w:fill="FFFFFF"/>
              </w:rPr>
              <w:t xml:space="preserve">и пути их решения </w:t>
            </w:r>
            <w:r w:rsidR="00353CF5" w:rsidRPr="00353CF5">
              <w:rPr>
                <w:rFonts w:cs="Times New Roman"/>
                <w:szCs w:val="28"/>
                <w:shd w:val="clear" w:color="auto" w:fill="FFFFFF"/>
              </w:rPr>
              <w:t>при подготовке дела к судебному разбирательству</w:t>
            </w:r>
            <w:bookmarkEnd w:id="6"/>
            <w:r w:rsidR="00DB079F">
              <w:rPr>
                <w:rFonts w:cs="Times New Roman"/>
                <w:szCs w:val="28"/>
                <w:shd w:val="clear" w:color="auto" w:fill="FFFFFF"/>
              </w:rPr>
              <w:t>………………………………………………...</w:t>
            </w:r>
          </w:p>
        </w:tc>
        <w:tc>
          <w:tcPr>
            <w:tcW w:w="561" w:type="dxa"/>
          </w:tcPr>
          <w:p w14:paraId="1AD535BB" w14:textId="77777777" w:rsidR="00DB079F" w:rsidRDefault="00DB079F" w:rsidP="00B74E7C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</w:p>
          <w:p w14:paraId="007AFAF0" w14:textId="77777777" w:rsidR="00057091" w:rsidRPr="001D26B3" w:rsidRDefault="00DB079F" w:rsidP="00B74E7C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40</w:t>
            </w:r>
          </w:p>
        </w:tc>
      </w:tr>
      <w:tr w:rsidR="00152D13" w:rsidRPr="001D26B3" w14:paraId="157EA6B6" w14:textId="77777777" w:rsidTr="00DB079F">
        <w:trPr>
          <w:trHeight w:val="805"/>
        </w:trPr>
        <w:tc>
          <w:tcPr>
            <w:tcW w:w="8784" w:type="dxa"/>
          </w:tcPr>
          <w:p w14:paraId="6686938D" w14:textId="77777777" w:rsidR="00152D13" w:rsidRPr="001D26B3" w:rsidRDefault="00761119" w:rsidP="00953D5D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3.1</w:t>
            </w:r>
            <w:r w:rsidR="00152D13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="00152D13" w:rsidRPr="00152D13">
              <w:rPr>
                <w:rFonts w:cs="Times New Roman"/>
                <w:szCs w:val="28"/>
                <w:shd w:val="clear" w:color="auto" w:fill="FFFFFF"/>
              </w:rPr>
              <w:t>Проблемные аспекты реализации общих условий судебного разбирательства</w:t>
            </w:r>
            <w:r w:rsidR="00DB079F">
              <w:rPr>
                <w:rFonts w:cs="Times New Roman"/>
                <w:szCs w:val="28"/>
                <w:shd w:val="clear" w:color="auto" w:fill="FFFFFF"/>
              </w:rPr>
              <w:t>……………………………………………………………..</w:t>
            </w:r>
          </w:p>
        </w:tc>
        <w:tc>
          <w:tcPr>
            <w:tcW w:w="561" w:type="dxa"/>
          </w:tcPr>
          <w:p w14:paraId="53D76492" w14:textId="77777777" w:rsidR="00DB079F" w:rsidRDefault="00DB079F" w:rsidP="00057091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</w:p>
          <w:p w14:paraId="093A1D31" w14:textId="77777777" w:rsidR="00152D13" w:rsidRPr="001D26B3" w:rsidRDefault="00DB079F" w:rsidP="00057091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40</w:t>
            </w:r>
          </w:p>
        </w:tc>
      </w:tr>
      <w:tr w:rsidR="001D26B3" w:rsidRPr="001D26B3" w14:paraId="4D42E26F" w14:textId="77777777" w:rsidTr="00DB079F">
        <w:trPr>
          <w:trHeight w:val="285"/>
        </w:trPr>
        <w:tc>
          <w:tcPr>
            <w:tcW w:w="8784" w:type="dxa"/>
          </w:tcPr>
          <w:p w14:paraId="36CE59A7" w14:textId="77777777" w:rsidR="00057091" w:rsidRPr="001D26B3" w:rsidRDefault="00057091" w:rsidP="00953D5D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1D26B3">
              <w:rPr>
                <w:rFonts w:cs="Times New Roman"/>
                <w:szCs w:val="28"/>
                <w:shd w:val="clear" w:color="auto" w:fill="FFFFFF"/>
              </w:rPr>
              <w:t>3.</w:t>
            </w:r>
            <w:r w:rsidR="00152D13">
              <w:rPr>
                <w:rFonts w:cs="Times New Roman"/>
                <w:szCs w:val="28"/>
                <w:shd w:val="clear" w:color="auto" w:fill="FFFFFF"/>
              </w:rPr>
              <w:t>2</w:t>
            </w:r>
            <w:r w:rsidRPr="001D26B3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="00533F23" w:rsidRPr="00533F23">
              <w:rPr>
                <w:rFonts w:cs="Times New Roman"/>
                <w:szCs w:val="28"/>
                <w:shd w:val="clear" w:color="auto" w:fill="FFFFFF"/>
              </w:rPr>
              <w:t>Пути совершенствования стадии подготовки дела к судебному разбирательству</w:t>
            </w:r>
            <w:r w:rsidR="00DB079F">
              <w:rPr>
                <w:rFonts w:cs="Times New Roman"/>
                <w:szCs w:val="28"/>
                <w:shd w:val="clear" w:color="auto" w:fill="FFFFFF"/>
              </w:rPr>
              <w:t>……………………………………………………………..</w:t>
            </w:r>
          </w:p>
        </w:tc>
        <w:tc>
          <w:tcPr>
            <w:tcW w:w="561" w:type="dxa"/>
          </w:tcPr>
          <w:p w14:paraId="255224BA" w14:textId="77777777" w:rsidR="00FB7FA8" w:rsidRPr="001D26B3" w:rsidRDefault="00FB7FA8" w:rsidP="00057091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</w:p>
          <w:p w14:paraId="5B57AADE" w14:textId="77777777" w:rsidR="00057091" w:rsidRPr="001D26B3" w:rsidRDefault="00DB079F" w:rsidP="00057091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47</w:t>
            </w:r>
          </w:p>
        </w:tc>
      </w:tr>
      <w:tr w:rsidR="001D26B3" w:rsidRPr="001D26B3" w14:paraId="50A46B50" w14:textId="77777777" w:rsidTr="00DB079F">
        <w:trPr>
          <w:trHeight w:val="240"/>
        </w:trPr>
        <w:tc>
          <w:tcPr>
            <w:tcW w:w="8784" w:type="dxa"/>
          </w:tcPr>
          <w:p w14:paraId="19F5A9B9" w14:textId="77777777" w:rsidR="00057091" w:rsidRPr="001D26B3" w:rsidRDefault="00B74E7C" w:rsidP="00953D5D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1D26B3">
              <w:rPr>
                <w:rFonts w:cs="Times New Roman"/>
                <w:szCs w:val="28"/>
                <w:shd w:val="clear" w:color="auto" w:fill="FFFFFF"/>
              </w:rPr>
              <w:t>Заключение</w:t>
            </w:r>
            <w:r w:rsidR="00FB7FA8" w:rsidRPr="001D26B3">
              <w:rPr>
                <w:rFonts w:cs="Times New Roman"/>
                <w:szCs w:val="28"/>
                <w:shd w:val="clear" w:color="auto" w:fill="FFFFFF"/>
              </w:rPr>
              <w:t>……………………………………………………………</w:t>
            </w:r>
            <w:r>
              <w:rPr>
                <w:rFonts w:cs="Times New Roman"/>
                <w:szCs w:val="28"/>
                <w:shd w:val="clear" w:color="auto" w:fill="FFFFFF"/>
              </w:rPr>
              <w:t>……</w:t>
            </w:r>
            <w:r w:rsidR="00151DAB">
              <w:rPr>
                <w:rFonts w:cs="Times New Roman"/>
                <w:szCs w:val="28"/>
                <w:shd w:val="clear" w:color="auto" w:fill="FFFFFF"/>
              </w:rPr>
              <w:t>.</w:t>
            </w:r>
          </w:p>
        </w:tc>
        <w:tc>
          <w:tcPr>
            <w:tcW w:w="561" w:type="dxa"/>
          </w:tcPr>
          <w:p w14:paraId="007CD92E" w14:textId="77777777" w:rsidR="00057091" w:rsidRPr="001D26B3" w:rsidRDefault="00DB079F" w:rsidP="00057091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52</w:t>
            </w:r>
          </w:p>
        </w:tc>
      </w:tr>
      <w:tr w:rsidR="00B74E7C" w:rsidRPr="001D26B3" w14:paraId="4C84D4AE" w14:textId="77777777" w:rsidTr="00DB079F">
        <w:trPr>
          <w:trHeight w:val="228"/>
        </w:trPr>
        <w:tc>
          <w:tcPr>
            <w:tcW w:w="8784" w:type="dxa"/>
          </w:tcPr>
          <w:p w14:paraId="4EB5BF58" w14:textId="77777777" w:rsidR="00057091" w:rsidRPr="001D26B3" w:rsidRDefault="00B74E7C" w:rsidP="00953D5D">
            <w:pPr>
              <w:spacing w:line="360" w:lineRule="auto"/>
              <w:rPr>
                <w:rFonts w:cs="Times New Roman"/>
                <w:szCs w:val="28"/>
                <w:shd w:val="clear" w:color="auto" w:fill="FFFFFF"/>
              </w:rPr>
            </w:pPr>
            <w:r w:rsidRPr="001D26B3">
              <w:rPr>
                <w:rFonts w:cs="Times New Roman"/>
                <w:szCs w:val="28"/>
                <w:shd w:val="clear" w:color="auto" w:fill="FFFFFF"/>
              </w:rPr>
              <w:t>Список использованных источников</w:t>
            </w:r>
            <w:r w:rsidR="00FB7FA8" w:rsidRPr="001D26B3">
              <w:rPr>
                <w:rFonts w:cs="Times New Roman"/>
                <w:szCs w:val="28"/>
                <w:shd w:val="clear" w:color="auto" w:fill="FFFFFF"/>
              </w:rPr>
              <w:t>………………………</w:t>
            </w:r>
            <w:r>
              <w:rPr>
                <w:rFonts w:cs="Times New Roman"/>
                <w:szCs w:val="28"/>
                <w:shd w:val="clear" w:color="auto" w:fill="FFFFFF"/>
              </w:rPr>
              <w:t>……………</w:t>
            </w:r>
            <w:r w:rsidR="00151DAB">
              <w:rPr>
                <w:rFonts w:cs="Times New Roman"/>
                <w:szCs w:val="28"/>
                <w:shd w:val="clear" w:color="auto" w:fill="FFFFFF"/>
              </w:rPr>
              <w:t>...</w:t>
            </w:r>
          </w:p>
        </w:tc>
        <w:tc>
          <w:tcPr>
            <w:tcW w:w="561" w:type="dxa"/>
          </w:tcPr>
          <w:p w14:paraId="2D7A6BC3" w14:textId="77777777" w:rsidR="00057091" w:rsidRPr="001D26B3" w:rsidRDefault="00D70C91" w:rsidP="00057091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5</w:t>
            </w:r>
            <w:r w:rsidR="00DB079F">
              <w:rPr>
                <w:rFonts w:cs="Times New Roman"/>
                <w:szCs w:val="28"/>
                <w:shd w:val="clear" w:color="auto" w:fill="FFFFFF"/>
              </w:rPr>
              <w:t>5</w:t>
            </w:r>
          </w:p>
        </w:tc>
      </w:tr>
    </w:tbl>
    <w:p w14:paraId="1EE003EF" w14:textId="77777777" w:rsidR="00CF5ADA" w:rsidRPr="001D26B3" w:rsidRDefault="00761119" w:rsidP="004274E6">
      <w:pPr>
        <w:spacing w:before="240" w:line="480" w:lineRule="auto"/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>ВВЕДЕНИЕ</w:t>
      </w:r>
    </w:p>
    <w:p w14:paraId="1303B0CF" w14:textId="77777777" w:rsidR="00533F23" w:rsidRDefault="00987BD1" w:rsidP="004274E6">
      <w:pPr>
        <w:spacing w:before="240"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87BD1">
        <w:rPr>
          <w:rFonts w:cs="Times New Roman"/>
          <w:szCs w:val="28"/>
          <w:shd w:val="clear" w:color="auto" w:fill="FFFFFF"/>
        </w:rPr>
        <w:t xml:space="preserve">Одним из концептуальных направлений российской судебной реформы является установление надлежащей процедуры рассмотрения дел, обеспечивающей доступность суда для всех заинтересованных лиц, возможность равноправного участия сторон в состязательном процессе, вынесение законных и обоснованных решений, а также их проверку. </w:t>
      </w:r>
      <w:r w:rsidR="00DB079F" w:rsidRPr="005661BF">
        <w:rPr>
          <w:rFonts w:cs="Times New Roman"/>
          <w:szCs w:val="28"/>
          <w:shd w:val="clear" w:color="auto" w:fill="FFFFFF"/>
        </w:rPr>
        <w:t>Актуальность</w:t>
      </w:r>
      <w:r w:rsidR="002B103D">
        <w:rPr>
          <w:rFonts w:cs="Times New Roman"/>
          <w:szCs w:val="28"/>
          <w:shd w:val="clear" w:color="auto" w:fill="FFFFFF"/>
        </w:rPr>
        <w:t xml:space="preserve"> темы моей дипломной работы «Подготовительные действия к судебному заседанию» заключаются в правильном и своевременном рассмотрении и разрешении</w:t>
      </w:r>
      <w:r w:rsidRPr="00987BD1">
        <w:rPr>
          <w:rFonts w:cs="Times New Roman"/>
          <w:szCs w:val="28"/>
          <w:shd w:val="clear" w:color="auto" w:fill="FFFFFF"/>
        </w:rPr>
        <w:t xml:space="preserve"> гражданских</w:t>
      </w:r>
      <w:r>
        <w:rPr>
          <w:rFonts w:cs="Times New Roman"/>
          <w:szCs w:val="28"/>
          <w:shd w:val="clear" w:color="auto" w:fill="FFFFFF"/>
        </w:rPr>
        <w:t>, уголовных и административных</w:t>
      </w:r>
      <w:r w:rsidR="002B103D">
        <w:rPr>
          <w:rFonts w:cs="Times New Roman"/>
          <w:szCs w:val="28"/>
          <w:shd w:val="clear" w:color="auto" w:fill="FFFFFF"/>
        </w:rPr>
        <w:t xml:space="preserve"> дел, а также приложении</w:t>
      </w:r>
      <w:r w:rsidRPr="00987BD1">
        <w:rPr>
          <w:rFonts w:cs="Times New Roman"/>
          <w:szCs w:val="28"/>
          <w:shd w:val="clear" w:color="auto" w:fill="FFFFFF"/>
        </w:rPr>
        <w:t xml:space="preserve"> усилий по разрешению конфликта до судеб</w:t>
      </w:r>
      <w:r w:rsidR="002B103D">
        <w:rPr>
          <w:rFonts w:cs="Times New Roman"/>
          <w:szCs w:val="28"/>
          <w:shd w:val="clear" w:color="auto" w:fill="FFFFFF"/>
        </w:rPr>
        <w:t xml:space="preserve">ного разбирательства, способствующему правильному пониманию целей </w:t>
      </w:r>
      <w:r w:rsidRPr="00987BD1">
        <w:rPr>
          <w:rFonts w:cs="Times New Roman"/>
          <w:szCs w:val="28"/>
          <w:shd w:val="clear" w:color="auto" w:fill="FFFFFF"/>
        </w:rPr>
        <w:t xml:space="preserve">и задач стадии подготовки дела, ее роли и значения для процесса в целом. </w:t>
      </w:r>
    </w:p>
    <w:p w14:paraId="0FA2A588" w14:textId="77777777" w:rsidR="00987BD1" w:rsidRDefault="00987BD1" w:rsidP="00151DA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87BD1">
        <w:rPr>
          <w:rFonts w:cs="Times New Roman"/>
          <w:szCs w:val="28"/>
          <w:shd w:val="clear" w:color="auto" w:fill="FFFFFF"/>
        </w:rPr>
        <w:t>Верное толкование назначения предварительного судебного заседания также обеспечит не только упрощение процесса, но и представит дополнительные гарантии защиты прав и интересов участвующих в деле лиц, а теоретические разработки и исследования подготовки дела, как показывает опыт, всегда оказывали влияние на совершенствование ее правовой регламентации.</w:t>
      </w:r>
    </w:p>
    <w:p w14:paraId="6DB50BF3" w14:textId="77777777" w:rsidR="00533F23" w:rsidRDefault="00DC1CBB" w:rsidP="00151DA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151DAB">
        <w:rPr>
          <w:rFonts w:cs="Times New Roman"/>
          <w:szCs w:val="28"/>
          <w:shd w:val="clear" w:color="auto" w:fill="FFFFFF"/>
        </w:rPr>
        <w:t xml:space="preserve">Данное обстоятельство порождает собой одну из наиболее актуальных проблем - проблему повышения качества деятельности судьи на стадии подготовки к судебному заседанию. </w:t>
      </w:r>
    </w:p>
    <w:p w14:paraId="5598564C" w14:textId="77777777" w:rsidR="002B103D" w:rsidRPr="00151DAB" w:rsidRDefault="002B103D" w:rsidP="002B103D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5661BF">
        <w:rPr>
          <w:rFonts w:cs="Times New Roman"/>
          <w:szCs w:val="28"/>
          <w:shd w:val="clear" w:color="auto" w:fill="FFFFFF"/>
        </w:rPr>
        <w:t>Целью</w:t>
      </w:r>
      <w:r w:rsidRPr="00151DAB">
        <w:rPr>
          <w:rFonts w:cs="Times New Roman"/>
          <w:szCs w:val="28"/>
          <w:shd w:val="clear" w:color="auto" w:fill="FFFFFF"/>
        </w:rPr>
        <w:t xml:space="preserve"> настоящей работы является изучение организации работы по подготовке уголовных гражданских и административных дел к судебному разбирательству</w:t>
      </w:r>
      <w:r>
        <w:rPr>
          <w:rFonts w:cs="Times New Roman"/>
          <w:szCs w:val="28"/>
          <w:shd w:val="clear" w:color="auto" w:fill="FFFFFF"/>
        </w:rPr>
        <w:t>.</w:t>
      </w:r>
      <w:r w:rsidRPr="00151DAB">
        <w:rPr>
          <w:rFonts w:cs="Times New Roman"/>
          <w:szCs w:val="28"/>
          <w:shd w:val="clear" w:color="auto" w:fill="FFFFFF"/>
        </w:rPr>
        <w:t xml:space="preserve"> </w:t>
      </w:r>
    </w:p>
    <w:p w14:paraId="5033868A" w14:textId="77777777" w:rsidR="002B103D" w:rsidRPr="00151DAB" w:rsidRDefault="002B103D" w:rsidP="002B103D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151DAB">
        <w:rPr>
          <w:rFonts w:cs="Times New Roman"/>
          <w:szCs w:val="28"/>
          <w:shd w:val="clear" w:color="auto" w:fill="FFFFFF"/>
        </w:rPr>
        <w:t xml:space="preserve">Для достижения поставленной цели в работе </w:t>
      </w:r>
      <w:r>
        <w:rPr>
          <w:rFonts w:cs="Times New Roman"/>
          <w:szCs w:val="28"/>
          <w:shd w:val="clear" w:color="auto" w:fill="FFFFFF"/>
        </w:rPr>
        <w:t>я поставила</w:t>
      </w:r>
      <w:r w:rsidRPr="00151DAB">
        <w:rPr>
          <w:rFonts w:cs="Times New Roman"/>
          <w:szCs w:val="28"/>
          <w:shd w:val="clear" w:color="auto" w:fill="FFFFFF"/>
        </w:rPr>
        <w:t xml:space="preserve"> следующие </w:t>
      </w:r>
      <w:r w:rsidRPr="005661BF">
        <w:rPr>
          <w:rFonts w:cs="Times New Roman"/>
          <w:szCs w:val="28"/>
          <w:shd w:val="clear" w:color="auto" w:fill="FFFFFF"/>
        </w:rPr>
        <w:t>задачи:</w:t>
      </w:r>
      <w:r w:rsidRPr="00151DAB">
        <w:rPr>
          <w:rFonts w:cs="Times New Roman"/>
          <w:szCs w:val="28"/>
          <w:shd w:val="clear" w:color="auto" w:fill="FFFFFF"/>
        </w:rPr>
        <w:t xml:space="preserve"> </w:t>
      </w:r>
    </w:p>
    <w:p w14:paraId="63BD294F" w14:textId="77777777" w:rsidR="002B103D" w:rsidRPr="00501F57" w:rsidRDefault="00501F57" w:rsidP="002B103D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- и</w:t>
      </w:r>
      <w:r w:rsidR="002B103D">
        <w:rPr>
          <w:rFonts w:cs="Times New Roman"/>
          <w:szCs w:val="28"/>
          <w:shd w:val="clear" w:color="auto" w:fill="FFFFFF"/>
        </w:rPr>
        <w:t>зучить порядок п</w:t>
      </w:r>
      <w:r w:rsidR="002B103D" w:rsidRPr="00987BD1">
        <w:rPr>
          <w:rFonts w:cs="Times New Roman"/>
          <w:szCs w:val="28"/>
          <w:shd w:val="clear" w:color="auto" w:fill="FFFFFF"/>
        </w:rPr>
        <w:t>одготовк</w:t>
      </w:r>
      <w:r w:rsidR="002B103D">
        <w:rPr>
          <w:rFonts w:cs="Times New Roman"/>
          <w:szCs w:val="28"/>
          <w:shd w:val="clear" w:color="auto" w:fill="FFFFFF"/>
        </w:rPr>
        <w:t>и</w:t>
      </w:r>
      <w:r w:rsidR="002B103D" w:rsidRPr="00987BD1">
        <w:rPr>
          <w:rFonts w:cs="Times New Roman"/>
          <w:szCs w:val="28"/>
          <w:shd w:val="clear" w:color="auto" w:fill="FFFFFF"/>
        </w:rPr>
        <w:t xml:space="preserve"> дел к судебному разбирательству и ее значени</w:t>
      </w:r>
      <w:r w:rsidR="005661BF">
        <w:rPr>
          <w:rFonts w:cs="Times New Roman"/>
          <w:szCs w:val="28"/>
          <w:shd w:val="clear" w:color="auto" w:fill="FFFFFF"/>
        </w:rPr>
        <w:t>е на современном этапе развития</w:t>
      </w:r>
      <w:r w:rsidRPr="00501F57">
        <w:rPr>
          <w:rFonts w:cs="Times New Roman"/>
          <w:szCs w:val="28"/>
          <w:shd w:val="clear" w:color="auto" w:fill="FFFFFF"/>
        </w:rPr>
        <w:t>;</w:t>
      </w:r>
    </w:p>
    <w:p w14:paraId="6AE698FC" w14:textId="77777777" w:rsidR="005661BF" w:rsidRPr="00501F57" w:rsidRDefault="00501F57" w:rsidP="002B103D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501F57">
        <w:rPr>
          <w:rFonts w:cs="Times New Roman"/>
          <w:szCs w:val="28"/>
          <w:shd w:val="clear" w:color="auto" w:fill="FFFFFF"/>
        </w:rPr>
        <w:lastRenderedPageBreak/>
        <w:t xml:space="preserve">- </w:t>
      </w:r>
      <w:r>
        <w:rPr>
          <w:rFonts w:cs="Times New Roman"/>
          <w:szCs w:val="28"/>
          <w:shd w:val="clear" w:color="auto" w:fill="FFFFFF"/>
        </w:rPr>
        <w:t>и</w:t>
      </w:r>
      <w:r w:rsidR="005661BF" w:rsidRPr="00151DAB">
        <w:rPr>
          <w:rFonts w:cs="Times New Roman"/>
          <w:szCs w:val="28"/>
          <w:shd w:val="clear" w:color="auto" w:fill="FFFFFF"/>
        </w:rPr>
        <w:t xml:space="preserve">зучить </w:t>
      </w:r>
      <w:r w:rsidR="005661BF">
        <w:rPr>
          <w:rFonts w:cs="Times New Roman"/>
          <w:szCs w:val="28"/>
          <w:shd w:val="clear" w:color="auto" w:fill="FFFFFF"/>
        </w:rPr>
        <w:t>д</w:t>
      </w:r>
      <w:r w:rsidR="005661BF" w:rsidRPr="00987BD1">
        <w:rPr>
          <w:rFonts w:cs="Times New Roman"/>
          <w:szCs w:val="28"/>
          <w:shd w:val="clear" w:color="auto" w:fill="FFFFFF"/>
        </w:rPr>
        <w:t>ействия судьи при подготовке дела к судебному разбирательству</w:t>
      </w:r>
      <w:r w:rsidRPr="00501F57">
        <w:rPr>
          <w:rFonts w:cs="Times New Roman"/>
          <w:szCs w:val="28"/>
          <w:shd w:val="clear" w:color="auto" w:fill="FFFFFF"/>
        </w:rPr>
        <w:t>;</w:t>
      </w:r>
    </w:p>
    <w:p w14:paraId="2B87DADB" w14:textId="77777777" w:rsidR="002B103D" w:rsidRPr="00151DAB" w:rsidRDefault="00501F57" w:rsidP="005661BF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- о</w:t>
      </w:r>
      <w:r w:rsidR="002B103D" w:rsidRPr="00151DAB">
        <w:rPr>
          <w:rFonts w:cs="Times New Roman"/>
          <w:szCs w:val="28"/>
          <w:shd w:val="clear" w:color="auto" w:fill="FFFFFF"/>
        </w:rPr>
        <w:t>пределить квалификационные и иные требования к лицам, занимающим должност</w:t>
      </w:r>
      <w:r>
        <w:rPr>
          <w:rFonts w:cs="Times New Roman"/>
          <w:szCs w:val="28"/>
          <w:shd w:val="clear" w:color="auto" w:fill="FFFFFF"/>
        </w:rPr>
        <w:t>и секретаря судебного заседания</w:t>
      </w:r>
      <w:r w:rsidRPr="00501F57">
        <w:rPr>
          <w:rFonts w:cs="Times New Roman"/>
          <w:szCs w:val="28"/>
          <w:shd w:val="clear" w:color="auto" w:fill="FFFFFF"/>
        </w:rPr>
        <w:t>;</w:t>
      </w:r>
      <w:r w:rsidR="002B103D" w:rsidRPr="00151DAB">
        <w:rPr>
          <w:rFonts w:cs="Times New Roman"/>
          <w:szCs w:val="28"/>
          <w:shd w:val="clear" w:color="auto" w:fill="FFFFFF"/>
        </w:rPr>
        <w:t xml:space="preserve"> </w:t>
      </w:r>
    </w:p>
    <w:p w14:paraId="15E3DF33" w14:textId="77777777" w:rsidR="002B103D" w:rsidRPr="00151DAB" w:rsidRDefault="00501F57" w:rsidP="002B103D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- п</w:t>
      </w:r>
      <w:r w:rsidR="002B103D" w:rsidRPr="00151DAB">
        <w:rPr>
          <w:rFonts w:cs="Times New Roman"/>
          <w:szCs w:val="28"/>
          <w:shd w:val="clear" w:color="auto" w:fill="FFFFFF"/>
        </w:rPr>
        <w:t xml:space="preserve">роанализировать организацию работы секретаря по подготовке уголовных, гражданских и административных дел к судебному разбирательству. </w:t>
      </w:r>
    </w:p>
    <w:p w14:paraId="61F6609F" w14:textId="77777777" w:rsidR="00DC1CBB" w:rsidRPr="00151DAB" w:rsidRDefault="00DC1CBB" w:rsidP="00151DA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5661BF">
        <w:rPr>
          <w:rFonts w:cs="Times New Roman"/>
          <w:szCs w:val="28"/>
          <w:shd w:val="clear" w:color="auto" w:fill="FFFFFF"/>
        </w:rPr>
        <w:t>Объектом</w:t>
      </w:r>
      <w:r w:rsidRPr="00151DAB">
        <w:rPr>
          <w:rFonts w:cs="Times New Roman"/>
          <w:szCs w:val="28"/>
          <w:shd w:val="clear" w:color="auto" w:fill="FFFFFF"/>
        </w:rPr>
        <w:t xml:space="preserve"> работы выступают общественные отношения, складывающиеся по поводу подготовки к судебному заседанию.</w:t>
      </w:r>
    </w:p>
    <w:p w14:paraId="43E59D56" w14:textId="77777777" w:rsidR="00CF5ADA" w:rsidRPr="00151DAB" w:rsidRDefault="00CF5ADA" w:rsidP="00151DA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151DAB">
        <w:rPr>
          <w:rFonts w:cs="Times New Roman"/>
          <w:szCs w:val="28"/>
          <w:shd w:val="clear" w:color="auto" w:fill="FFFFFF"/>
        </w:rPr>
        <w:t>В разное время высказывались следующие точки зрения по этому вопросу: подготовка дела — не более чем известная совокупность действий суда, выполняемых ввиду их служебно-организованного значения единолично судьей в процессе исполнения судом его общей обязанности рассмотреть и разрешить дело; подготовка к делу вне разбирательства по нему не имеет никакого значения, а, следовательно, и вообще не имеет самостоятельного значения; подготовка дела не составляет задачи правосудия, достижению которой корреспондировал бы соответствующий охраняемый законом интерес (или право) стороны, являющийся необходимым элементом в процессуальном правоотношении.</w:t>
      </w:r>
    </w:p>
    <w:p w14:paraId="5AD1C375" w14:textId="77777777" w:rsidR="00533F23" w:rsidRDefault="00CF5ADA" w:rsidP="00151DA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151DAB">
        <w:rPr>
          <w:rFonts w:cs="Times New Roman"/>
          <w:szCs w:val="28"/>
          <w:shd w:val="clear" w:color="auto" w:fill="FFFFFF"/>
        </w:rPr>
        <w:t xml:space="preserve">Поэтому здесь нет отдельного процессуального правоотношения между судом и сторонами, нет, следовательно, и стадии процесса, составляющей содержание правоотношения как формы процесса. Некоторыми учеными подготовка дела к судебному разбирательству рассматривалась как самостоятельная часть (этап) производства по гражданскому делу в суде первой инстанции. </w:t>
      </w:r>
    </w:p>
    <w:p w14:paraId="3C4449D4" w14:textId="77777777" w:rsidR="00CF5ADA" w:rsidRPr="00151DAB" w:rsidRDefault="00CF5ADA" w:rsidP="00151DA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151DAB">
        <w:rPr>
          <w:rFonts w:cs="Times New Roman"/>
          <w:szCs w:val="28"/>
          <w:shd w:val="clear" w:color="auto" w:fill="FFFFFF"/>
        </w:rPr>
        <w:t>Секретарь судебного заседания несет личную ответственность за полноту и точность протокола судебного заседания, при составлении которо</w:t>
      </w:r>
      <w:r w:rsidR="00871F0E" w:rsidRPr="00151DAB">
        <w:rPr>
          <w:rFonts w:cs="Times New Roman"/>
          <w:szCs w:val="28"/>
          <w:shd w:val="clear" w:color="auto" w:fill="FFFFFF"/>
        </w:rPr>
        <w:t xml:space="preserve">го является независимым от чьих </w:t>
      </w:r>
      <w:r w:rsidRPr="00151DAB">
        <w:rPr>
          <w:rFonts w:cs="Times New Roman"/>
          <w:szCs w:val="28"/>
          <w:shd w:val="clear" w:color="auto" w:fill="FFFFFF"/>
        </w:rPr>
        <w:t>бы</w:t>
      </w:r>
      <w:r w:rsidR="00871F0E" w:rsidRPr="00151DAB">
        <w:rPr>
          <w:rFonts w:cs="Times New Roman"/>
          <w:szCs w:val="28"/>
          <w:shd w:val="clear" w:color="auto" w:fill="FFFFFF"/>
        </w:rPr>
        <w:t>,</w:t>
      </w:r>
      <w:r w:rsidRPr="00151DAB">
        <w:rPr>
          <w:rFonts w:cs="Times New Roman"/>
          <w:szCs w:val="28"/>
          <w:shd w:val="clear" w:color="auto" w:fill="FFFFFF"/>
        </w:rPr>
        <w:t xml:space="preserve"> то ни было указаний относительно содержания вносимых в протокол записей. В случае появления в ходе заседания разногласий между секретарем и председательствующим по </w:t>
      </w:r>
      <w:r w:rsidRPr="00151DAB">
        <w:rPr>
          <w:rFonts w:cs="Times New Roman"/>
          <w:szCs w:val="28"/>
          <w:shd w:val="clear" w:color="auto" w:fill="FFFFFF"/>
        </w:rPr>
        <w:lastRenderedPageBreak/>
        <w:t>поводу содержания протокола, секретарь вправе приложить к протоколу свои замечания.</w:t>
      </w:r>
    </w:p>
    <w:p w14:paraId="22D11A31" w14:textId="77777777" w:rsidR="005661BF" w:rsidRDefault="009F2FBE" w:rsidP="00151DA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5661BF">
        <w:rPr>
          <w:rFonts w:cs="Times New Roman"/>
          <w:szCs w:val="28"/>
          <w:shd w:val="clear" w:color="auto" w:fill="FFFFFF"/>
        </w:rPr>
        <w:t>Предметом</w:t>
      </w:r>
      <w:r w:rsidRPr="00151DAB">
        <w:rPr>
          <w:rFonts w:cs="Times New Roman"/>
          <w:szCs w:val="28"/>
          <w:shd w:val="clear" w:color="auto" w:fill="FFFFFF"/>
        </w:rPr>
        <w:t xml:space="preserve"> настоящей работы являются общественные отношения в сфере организации работы по подготовке уголовных гражданских и административных дел к с</w:t>
      </w:r>
      <w:r w:rsidR="00871F0E" w:rsidRPr="00151DAB">
        <w:rPr>
          <w:rFonts w:cs="Times New Roman"/>
          <w:szCs w:val="28"/>
          <w:shd w:val="clear" w:color="auto" w:fill="FFFFFF"/>
        </w:rPr>
        <w:t xml:space="preserve">удебному разбирательству. </w:t>
      </w:r>
    </w:p>
    <w:p w14:paraId="4AE68AEA" w14:textId="77777777" w:rsidR="00987BD1" w:rsidRDefault="00987BD1" w:rsidP="00151DA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87BD1">
        <w:rPr>
          <w:rFonts w:cs="Times New Roman"/>
          <w:szCs w:val="28"/>
          <w:shd w:val="clear" w:color="auto" w:fill="FFFFFF"/>
        </w:rPr>
        <w:t xml:space="preserve">Исследуемые вопросы в контексте решения поставленных в работе задач рассматривались на основе работ ученых в области теории права (С.С. Алексеев, Э.Б. Атаманова, И.Я.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Дюрягин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В.П.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Казимирчук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О.А. Красавчиков, В.Н. Кудрявцев, В.В. Лазарев, П.Е.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Недбайло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А.С.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Пиголкин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И. Сабо, П.М.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Ярвелайд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), арбитражного и гражданского процессуального права (В.Т.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Барбакадзе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А.Т.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Боннер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Я.Х. Беков, Е.А. Борисова, Р.Е. Гукасян, Г.А. Жилин, А.Ф.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Клейнман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В.Ф.Ковин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Е.В. Кудрявцева, П.В. Логинов, Д.Я.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Малешин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А.В. Малюкина, Н.И.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Маняк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В.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Некрошюс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С.Ю. Никоноров, Е.И. Носырева, Ю.К. Осипов, Г.Л. Осокина, А.Г. Плешанов, В.К.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Пучинский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Н.А.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Рассахатская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И.В. Решетникова, Е.В.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Салогубова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Т.В. Сахнова, М.Л. Скуратовский, Ю.А. Тимофеев, М.К.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Треушников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П.Я. Трубников, Г.Д.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Улетова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Ф.Н.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Фаткуллин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Д.Г. Фильченко, А.В.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Цихоцкий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И.И. Черных, Н.А. Чечина, Д.М.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Чечот</w:t>
      </w:r>
      <w:proofErr w:type="spellEnd"/>
      <w:r w:rsidRPr="00987BD1">
        <w:rPr>
          <w:rFonts w:cs="Times New Roman"/>
          <w:szCs w:val="28"/>
          <w:shd w:val="clear" w:color="auto" w:fill="FFFFFF"/>
        </w:rPr>
        <w:t xml:space="preserve">, Р.В. </w:t>
      </w:r>
      <w:proofErr w:type="spellStart"/>
      <w:r w:rsidRPr="00987BD1">
        <w:rPr>
          <w:rFonts w:cs="Times New Roman"/>
          <w:szCs w:val="28"/>
          <w:shd w:val="clear" w:color="auto" w:fill="FFFFFF"/>
        </w:rPr>
        <w:t>Шакирьянов</w:t>
      </w:r>
      <w:proofErr w:type="spellEnd"/>
      <w:r w:rsidRPr="00987BD1">
        <w:rPr>
          <w:rFonts w:cs="Times New Roman"/>
          <w:szCs w:val="28"/>
          <w:shd w:val="clear" w:color="auto" w:fill="FFFFFF"/>
        </w:rPr>
        <w:t>, В.М. Шерстюк, А.В. Шилов, Е.С. Шумейко, В.Н. Щеглов, К.С. Юдельсон, В.В. Ярков и др.).</w:t>
      </w:r>
    </w:p>
    <w:p w14:paraId="096C06EE" w14:textId="77777777" w:rsidR="00F12C76" w:rsidRDefault="009F2FBE" w:rsidP="00151DA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151DAB">
        <w:rPr>
          <w:rFonts w:cs="Times New Roman"/>
          <w:szCs w:val="28"/>
          <w:shd w:val="clear" w:color="auto" w:fill="FFFFFF"/>
        </w:rPr>
        <w:t>Методологической основой работы являются общенаучные методы, методы сравнительного анализа, методы теоретического анализа, метод изучения материалов научных и периодических изданий по проблеме, метод документального анализа, наблюдения.</w:t>
      </w:r>
    </w:p>
    <w:p w14:paraId="10529CB9" w14:textId="77777777" w:rsidR="00533F23" w:rsidRPr="00151DAB" w:rsidRDefault="00533F23" w:rsidP="00151DA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Структура работы состоит из: введения, трех глав, заключения и списка использованных источников</w:t>
      </w:r>
    </w:p>
    <w:p w14:paraId="4C532AE4" w14:textId="77777777" w:rsidR="009F2FBE" w:rsidRPr="001D26B3" w:rsidRDefault="009F2FBE" w:rsidP="00DC1CBB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</w:p>
    <w:p w14:paraId="47DAF6D7" w14:textId="77777777" w:rsidR="004B1472" w:rsidRPr="00533F23" w:rsidRDefault="004B1472" w:rsidP="00533F23">
      <w:pPr>
        <w:spacing w:after="0" w:line="360" w:lineRule="auto"/>
        <w:ind w:left="709"/>
        <w:jc w:val="both"/>
        <w:rPr>
          <w:rFonts w:cs="Times New Roman"/>
          <w:szCs w:val="28"/>
          <w:shd w:val="clear" w:color="auto" w:fill="FFFFFF"/>
        </w:rPr>
      </w:pPr>
    </w:p>
    <w:sectPr w:rsidR="004B1472" w:rsidRPr="00533F23" w:rsidSect="003E71EC">
      <w:footerReference w:type="default" r:id="rId8"/>
      <w:type w:val="evenPage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7ACC" w14:textId="77777777" w:rsidR="00356094" w:rsidRDefault="00356094" w:rsidP="00057091">
      <w:pPr>
        <w:spacing w:after="0"/>
      </w:pPr>
      <w:r>
        <w:separator/>
      </w:r>
    </w:p>
  </w:endnote>
  <w:endnote w:type="continuationSeparator" w:id="0">
    <w:p w14:paraId="2CF56EC8" w14:textId="77777777" w:rsidR="00356094" w:rsidRDefault="00356094" w:rsidP="000570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025836"/>
      <w:docPartObj>
        <w:docPartGallery w:val="Page Numbers (Bottom of Page)"/>
        <w:docPartUnique/>
      </w:docPartObj>
    </w:sdtPr>
    <w:sdtEndPr/>
    <w:sdtContent>
      <w:p w14:paraId="512D826A" w14:textId="77777777" w:rsidR="00862E25" w:rsidRDefault="006443D7">
        <w:pPr>
          <w:pStyle w:val="a7"/>
          <w:jc w:val="center"/>
        </w:pPr>
        <w:r>
          <w:rPr>
            <w:noProof/>
          </w:rPr>
          <w:fldChar w:fldCharType="begin"/>
        </w:r>
        <w:r w:rsidR="007D0F7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C57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F0FE70" w14:textId="77777777" w:rsidR="00862E25" w:rsidRDefault="00862E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011B" w14:textId="77777777" w:rsidR="00356094" w:rsidRDefault="00356094" w:rsidP="00057091">
      <w:pPr>
        <w:spacing w:after="0"/>
      </w:pPr>
      <w:r>
        <w:separator/>
      </w:r>
    </w:p>
  </w:footnote>
  <w:footnote w:type="continuationSeparator" w:id="0">
    <w:p w14:paraId="523EAC08" w14:textId="77777777" w:rsidR="00356094" w:rsidRDefault="00356094" w:rsidP="000570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5AC"/>
    <w:multiLevelType w:val="hybridMultilevel"/>
    <w:tmpl w:val="BBFA0478"/>
    <w:lvl w:ilvl="0" w:tplc="67B28A3C">
      <w:start w:val="1"/>
      <w:numFmt w:val="decimal"/>
      <w:lvlText w:val="%1."/>
      <w:lvlJc w:val="left"/>
      <w:pPr>
        <w:ind w:left="2149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56523A9"/>
    <w:multiLevelType w:val="hybridMultilevel"/>
    <w:tmpl w:val="024CA01E"/>
    <w:lvl w:ilvl="0" w:tplc="7C2072A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38B6FB62">
      <w:start w:val="1"/>
      <w:numFmt w:val="decimal"/>
      <w:lvlText w:val="%2)"/>
      <w:lvlJc w:val="left"/>
      <w:pPr>
        <w:ind w:left="2674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A82FDE"/>
    <w:multiLevelType w:val="hybridMultilevel"/>
    <w:tmpl w:val="4C164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7A7CBD"/>
    <w:multiLevelType w:val="hybridMultilevel"/>
    <w:tmpl w:val="6C489ABE"/>
    <w:lvl w:ilvl="0" w:tplc="086A0EF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3F6FD0"/>
    <w:multiLevelType w:val="hybridMultilevel"/>
    <w:tmpl w:val="F6F236F4"/>
    <w:lvl w:ilvl="0" w:tplc="AF84C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8C196B"/>
    <w:multiLevelType w:val="hybridMultilevel"/>
    <w:tmpl w:val="8C04D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ED23C8"/>
    <w:multiLevelType w:val="hybridMultilevel"/>
    <w:tmpl w:val="6C489ABE"/>
    <w:lvl w:ilvl="0" w:tplc="086A0EF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446F24"/>
    <w:multiLevelType w:val="hybridMultilevel"/>
    <w:tmpl w:val="0A6AD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EF7FC8"/>
    <w:multiLevelType w:val="hybridMultilevel"/>
    <w:tmpl w:val="2FE27388"/>
    <w:lvl w:ilvl="0" w:tplc="1A8CD6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103DD4"/>
    <w:multiLevelType w:val="hybridMultilevel"/>
    <w:tmpl w:val="8250D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3F6D7A"/>
    <w:multiLevelType w:val="hybridMultilevel"/>
    <w:tmpl w:val="9DA8B100"/>
    <w:lvl w:ilvl="0" w:tplc="8FD2FD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B62A05"/>
    <w:multiLevelType w:val="hybridMultilevel"/>
    <w:tmpl w:val="60B46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6577D0"/>
    <w:multiLevelType w:val="hybridMultilevel"/>
    <w:tmpl w:val="7B5E66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C2651C"/>
    <w:multiLevelType w:val="hybridMultilevel"/>
    <w:tmpl w:val="5FB66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A97629"/>
    <w:multiLevelType w:val="hybridMultilevel"/>
    <w:tmpl w:val="D1DEE6C6"/>
    <w:lvl w:ilvl="0" w:tplc="39A84A0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CC52D1"/>
    <w:multiLevelType w:val="hybridMultilevel"/>
    <w:tmpl w:val="D1BA5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D478D4"/>
    <w:multiLevelType w:val="hybridMultilevel"/>
    <w:tmpl w:val="73DC2AA6"/>
    <w:lvl w:ilvl="0" w:tplc="39A84A0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519D0"/>
    <w:multiLevelType w:val="hybridMultilevel"/>
    <w:tmpl w:val="CE320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C84ECF"/>
    <w:multiLevelType w:val="hybridMultilevel"/>
    <w:tmpl w:val="059EC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202C1"/>
    <w:multiLevelType w:val="hybridMultilevel"/>
    <w:tmpl w:val="5EB4AF2A"/>
    <w:lvl w:ilvl="0" w:tplc="4DF8AD1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5E012299"/>
    <w:multiLevelType w:val="hybridMultilevel"/>
    <w:tmpl w:val="3BEE7792"/>
    <w:lvl w:ilvl="0" w:tplc="7A92C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2F0795"/>
    <w:multiLevelType w:val="multilevel"/>
    <w:tmpl w:val="50D21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D16795"/>
    <w:multiLevelType w:val="multilevel"/>
    <w:tmpl w:val="024CA01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674" w:hanging="124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5676BA"/>
    <w:multiLevelType w:val="hybridMultilevel"/>
    <w:tmpl w:val="1BCA5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C0386D"/>
    <w:multiLevelType w:val="hybridMultilevel"/>
    <w:tmpl w:val="9D78AB62"/>
    <w:lvl w:ilvl="0" w:tplc="70944C8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AD019E"/>
    <w:multiLevelType w:val="hybridMultilevel"/>
    <w:tmpl w:val="69DE0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63393C"/>
    <w:multiLevelType w:val="hybridMultilevel"/>
    <w:tmpl w:val="2440093A"/>
    <w:lvl w:ilvl="0" w:tplc="B930F94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D53C1B"/>
    <w:multiLevelType w:val="hybridMultilevel"/>
    <w:tmpl w:val="0D6AE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23"/>
  </w:num>
  <w:num w:numId="4">
    <w:abstractNumId w:val="14"/>
  </w:num>
  <w:num w:numId="5">
    <w:abstractNumId w:val="16"/>
  </w:num>
  <w:num w:numId="6">
    <w:abstractNumId w:val="21"/>
  </w:num>
  <w:num w:numId="7">
    <w:abstractNumId w:val="1"/>
  </w:num>
  <w:num w:numId="8">
    <w:abstractNumId w:val="22"/>
  </w:num>
  <w:num w:numId="9">
    <w:abstractNumId w:val="26"/>
  </w:num>
  <w:num w:numId="10">
    <w:abstractNumId w:val="9"/>
  </w:num>
  <w:num w:numId="11">
    <w:abstractNumId w:val="12"/>
  </w:num>
  <w:num w:numId="12">
    <w:abstractNumId w:val="0"/>
  </w:num>
  <w:num w:numId="13">
    <w:abstractNumId w:val="27"/>
  </w:num>
  <w:num w:numId="14">
    <w:abstractNumId w:val="20"/>
  </w:num>
  <w:num w:numId="15">
    <w:abstractNumId w:val="2"/>
  </w:num>
  <w:num w:numId="16">
    <w:abstractNumId w:val="10"/>
  </w:num>
  <w:num w:numId="17">
    <w:abstractNumId w:val="5"/>
  </w:num>
  <w:num w:numId="18">
    <w:abstractNumId w:val="19"/>
  </w:num>
  <w:num w:numId="19">
    <w:abstractNumId w:val="13"/>
  </w:num>
  <w:num w:numId="20">
    <w:abstractNumId w:val="4"/>
  </w:num>
  <w:num w:numId="21">
    <w:abstractNumId w:val="11"/>
  </w:num>
  <w:num w:numId="22">
    <w:abstractNumId w:val="24"/>
  </w:num>
  <w:num w:numId="23">
    <w:abstractNumId w:val="25"/>
  </w:num>
  <w:num w:numId="24">
    <w:abstractNumId w:val="8"/>
  </w:num>
  <w:num w:numId="25">
    <w:abstractNumId w:val="15"/>
  </w:num>
  <w:num w:numId="26">
    <w:abstractNumId w:val="17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767"/>
    <w:rsid w:val="00003A05"/>
    <w:rsid w:val="00023DF6"/>
    <w:rsid w:val="00057091"/>
    <w:rsid w:val="000E687D"/>
    <w:rsid w:val="000F3A22"/>
    <w:rsid w:val="00151DAB"/>
    <w:rsid w:val="00152D13"/>
    <w:rsid w:val="00181399"/>
    <w:rsid w:val="001C51DF"/>
    <w:rsid w:val="001D26B3"/>
    <w:rsid w:val="00203C41"/>
    <w:rsid w:val="0024040D"/>
    <w:rsid w:val="002B103D"/>
    <w:rsid w:val="002D5884"/>
    <w:rsid w:val="002F5779"/>
    <w:rsid w:val="0030335B"/>
    <w:rsid w:val="0031625F"/>
    <w:rsid w:val="0033593C"/>
    <w:rsid w:val="00353CF5"/>
    <w:rsid w:val="00356094"/>
    <w:rsid w:val="003762C8"/>
    <w:rsid w:val="003E71EC"/>
    <w:rsid w:val="004274E6"/>
    <w:rsid w:val="00437DA2"/>
    <w:rsid w:val="00460657"/>
    <w:rsid w:val="004672D3"/>
    <w:rsid w:val="0048534D"/>
    <w:rsid w:val="004B1472"/>
    <w:rsid w:val="004B3959"/>
    <w:rsid w:val="004E1585"/>
    <w:rsid w:val="00501F57"/>
    <w:rsid w:val="0052334E"/>
    <w:rsid w:val="00533F23"/>
    <w:rsid w:val="00535C7C"/>
    <w:rsid w:val="00536A32"/>
    <w:rsid w:val="005530E0"/>
    <w:rsid w:val="005661BF"/>
    <w:rsid w:val="005A28F9"/>
    <w:rsid w:val="005C6D75"/>
    <w:rsid w:val="005E5282"/>
    <w:rsid w:val="00612D73"/>
    <w:rsid w:val="006443D7"/>
    <w:rsid w:val="00676DD8"/>
    <w:rsid w:val="006861C7"/>
    <w:rsid w:val="006C0B77"/>
    <w:rsid w:val="006D1A8B"/>
    <w:rsid w:val="006F5FA8"/>
    <w:rsid w:val="00732768"/>
    <w:rsid w:val="00761119"/>
    <w:rsid w:val="007D0F70"/>
    <w:rsid w:val="007D4513"/>
    <w:rsid w:val="007E3207"/>
    <w:rsid w:val="007F0B29"/>
    <w:rsid w:val="008242FF"/>
    <w:rsid w:val="00855216"/>
    <w:rsid w:val="00856D9C"/>
    <w:rsid w:val="00862E25"/>
    <w:rsid w:val="00870751"/>
    <w:rsid w:val="00871F0E"/>
    <w:rsid w:val="008A606D"/>
    <w:rsid w:val="00922C48"/>
    <w:rsid w:val="0093447C"/>
    <w:rsid w:val="009514C1"/>
    <w:rsid w:val="00953D5D"/>
    <w:rsid w:val="00962587"/>
    <w:rsid w:val="0097300F"/>
    <w:rsid w:val="0097780F"/>
    <w:rsid w:val="00987BD1"/>
    <w:rsid w:val="009B20C6"/>
    <w:rsid w:val="009F1364"/>
    <w:rsid w:val="009F2FBE"/>
    <w:rsid w:val="00A0245E"/>
    <w:rsid w:val="00A10767"/>
    <w:rsid w:val="00A52B75"/>
    <w:rsid w:val="00B12DE7"/>
    <w:rsid w:val="00B36113"/>
    <w:rsid w:val="00B4610A"/>
    <w:rsid w:val="00B51452"/>
    <w:rsid w:val="00B74E7C"/>
    <w:rsid w:val="00B81AC8"/>
    <w:rsid w:val="00B915B7"/>
    <w:rsid w:val="00C025E7"/>
    <w:rsid w:val="00C44761"/>
    <w:rsid w:val="00C56DBA"/>
    <w:rsid w:val="00C60753"/>
    <w:rsid w:val="00C63AF1"/>
    <w:rsid w:val="00C64472"/>
    <w:rsid w:val="00CA1880"/>
    <w:rsid w:val="00CC574C"/>
    <w:rsid w:val="00CF5ADA"/>
    <w:rsid w:val="00D54BC0"/>
    <w:rsid w:val="00D70C91"/>
    <w:rsid w:val="00D7236B"/>
    <w:rsid w:val="00D727D5"/>
    <w:rsid w:val="00DB079F"/>
    <w:rsid w:val="00DC1CBB"/>
    <w:rsid w:val="00DE4F60"/>
    <w:rsid w:val="00E765A5"/>
    <w:rsid w:val="00EA59DF"/>
    <w:rsid w:val="00EB638F"/>
    <w:rsid w:val="00EB728D"/>
    <w:rsid w:val="00EE4070"/>
    <w:rsid w:val="00F12C76"/>
    <w:rsid w:val="00F436CA"/>
    <w:rsid w:val="00FB7FA8"/>
    <w:rsid w:val="00FC5A12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61836"/>
  <w15:docId w15:val="{7CEEF040-D5A6-43D0-88F2-AB663F93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536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E528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5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709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57091"/>
    <w:rPr>
      <w:rFonts w:ascii="Times New Roman" w:hAnsi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5709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57091"/>
    <w:rPr>
      <w:rFonts w:ascii="Times New Roman" w:hAnsi="Times New Roman"/>
      <w:kern w:val="0"/>
      <w:sz w:val="28"/>
    </w:rPr>
  </w:style>
  <w:style w:type="paragraph" w:styleId="a9">
    <w:name w:val="List Paragraph"/>
    <w:basedOn w:val="a"/>
    <w:uiPriority w:val="34"/>
    <w:qFormat/>
    <w:rsid w:val="0097300F"/>
    <w:pPr>
      <w:ind w:left="720"/>
      <w:contextualSpacing/>
    </w:pPr>
  </w:style>
  <w:style w:type="character" w:customStyle="1" w:styleId="2">
    <w:name w:val="Основной текст (2)_"/>
    <w:link w:val="20"/>
    <w:qFormat/>
    <w:rsid w:val="00CA188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CA1880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kern w:val="2"/>
      <w:sz w:val="26"/>
      <w:szCs w:val="26"/>
    </w:rPr>
  </w:style>
  <w:style w:type="character" w:customStyle="1" w:styleId="2Exact">
    <w:name w:val="Основной текст (2) Exact"/>
    <w:qFormat/>
    <w:rsid w:val="00CA1880"/>
    <w:rPr>
      <w:rFonts w:ascii="Times New Roman" w:eastAsia="Times New Roman" w:hAnsi="Times New Roman" w:cs="Times New Roman"/>
      <w:sz w:val="26"/>
      <w:szCs w:val="26"/>
      <w:u w:val="none"/>
    </w:rPr>
  </w:style>
  <w:style w:type="paragraph" w:styleId="aa">
    <w:name w:val="footnote text"/>
    <w:basedOn w:val="a"/>
    <w:link w:val="ab"/>
    <w:uiPriority w:val="99"/>
    <w:semiHidden/>
    <w:unhideWhenUsed/>
    <w:rsid w:val="00C44761"/>
    <w:pPr>
      <w:spacing w:after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44761"/>
    <w:rPr>
      <w:rFonts w:ascii="Times New Roman" w:hAnsi="Times New Roman"/>
      <w:kern w:val="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44761"/>
    <w:rPr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672D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36A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CC574C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574C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9212-CAEE-44E7-9AC6-53CF605B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9</cp:revision>
  <dcterms:created xsi:type="dcterms:W3CDTF">2024-05-30T03:18:00Z</dcterms:created>
  <dcterms:modified xsi:type="dcterms:W3CDTF">2025-01-21T12:21:00Z</dcterms:modified>
</cp:coreProperties>
</file>