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C912" w14:textId="77777777" w:rsidR="006E62E2" w:rsidRDefault="002244C1">
      <w:pPr>
        <w:spacing w:before="63"/>
        <w:ind w:right="136"/>
        <w:jc w:val="center"/>
        <w:rPr>
          <w:b/>
          <w:sz w:val="28"/>
        </w:rPr>
      </w:pPr>
      <w:r>
        <w:rPr>
          <w:b/>
          <w:color w:val="C00000"/>
          <w:spacing w:val="-2"/>
          <w:sz w:val="28"/>
        </w:rPr>
        <w:t>Оглавление</w:t>
      </w:r>
    </w:p>
    <w:sdt>
      <w:sdtPr>
        <w:id w:val="-250508550"/>
        <w:docPartObj>
          <w:docPartGallery w:val="Table of Contents"/>
          <w:docPartUnique/>
        </w:docPartObj>
      </w:sdtPr>
      <w:sdtEndPr/>
      <w:sdtContent>
        <w:p w14:paraId="1A9D7CA0" w14:textId="77777777" w:rsidR="006E62E2" w:rsidRDefault="005C2F4F">
          <w:pPr>
            <w:pStyle w:val="10"/>
            <w:tabs>
              <w:tab w:val="left" w:leader="dot" w:pos="9447"/>
            </w:tabs>
            <w:spacing w:before="643"/>
            <w:ind w:left="1058" w:firstLine="0"/>
            <w:jc w:val="left"/>
            <w:rPr>
              <w:b w:val="0"/>
            </w:rPr>
          </w:pPr>
          <w:hyperlink w:anchor="_TOC_250010" w:history="1">
            <w:r w:rsidR="002244C1">
              <w:rPr>
                <w:spacing w:val="-2"/>
              </w:rPr>
              <w:t>Введение</w:t>
            </w:r>
            <w:r w:rsidR="002244C1">
              <w:rPr>
                <w:b w:val="0"/>
              </w:rPr>
              <w:tab/>
            </w:r>
            <w:r w:rsidR="002244C1">
              <w:rPr>
                <w:b w:val="0"/>
                <w:spacing w:val="-10"/>
              </w:rPr>
              <w:t>3</w:t>
            </w:r>
          </w:hyperlink>
        </w:p>
        <w:p w14:paraId="26C2CBBC" w14:textId="77777777" w:rsidR="006E62E2" w:rsidRDefault="002244C1">
          <w:pPr>
            <w:pStyle w:val="10"/>
            <w:spacing w:before="163" w:line="360" w:lineRule="auto"/>
            <w:ind w:right="133"/>
          </w:pPr>
          <w:r>
            <w:t>Глава</w:t>
          </w:r>
          <w:r>
            <w:rPr>
              <w:spacing w:val="-18"/>
            </w:rPr>
            <w:t xml:space="preserve"> </w:t>
          </w:r>
          <w:r>
            <w:t>I.</w:t>
          </w:r>
          <w:r>
            <w:rPr>
              <w:spacing w:val="-17"/>
            </w:rPr>
            <w:t xml:space="preserve"> </w:t>
          </w:r>
          <w:r>
            <w:t>Общие</w:t>
          </w:r>
          <w:r>
            <w:rPr>
              <w:spacing w:val="-18"/>
            </w:rPr>
            <w:t xml:space="preserve"> </w:t>
          </w:r>
          <w:r>
            <w:t>основания</w:t>
          </w:r>
          <w:r>
            <w:rPr>
              <w:spacing w:val="-17"/>
            </w:rPr>
            <w:t xml:space="preserve"> </w:t>
          </w:r>
          <w:r>
            <w:t>и</w:t>
          </w:r>
          <w:r>
            <w:rPr>
              <w:spacing w:val="-18"/>
            </w:rPr>
            <w:t xml:space="preserve"> </w:t>
          </w:r>
          <w:r>
            <w:t>порядок</w:t>
          </w:r>
          <w:r>
            <w:rPr>
              <w:spacing w:val="-17"/>
            </w:rPr>
            <w:t xml:space="preserve"> </w:t>
          </w:r>
          <w:r>
            <w:t>оспаривания</w:t>
          </w:r>
          <w:r>
            <w:rPr>
              <w:spacing w:val="-18"/>
            </w:rPr>
            <w:t xml:space="preserve"> </w:t>
          </w:r>
          <w:r>
            <w:t>сделок</w:t>
          </w:r>
          <w:r>
            <w:rPr>
              <w:spacing w:val="-17"/>
            </w:rPr>
            <w:t xml:space="preserve"> </w:t>
          </w:r>
          <w:r>
            <w:t>должника по правилам Федерального закона от 26.10.2002 № 127-ФЗ «О несостоятельности (банкротстве)» (далее — Закон о банкротстве):</w:t>
          </w:r>
        </w:p>
        <w:p w14:paraId="1A0EBB53" w14:textId="77777777" w:rsidR="006E62E2" w:rsidRDefault="005C2F4F">
          <w:pPr>
            <w:pStyle w:val="2"/>
            <w:tabs>
              <w:tab w:val="left" w:leader="dot" w:pos="9497"/>
            </w:tabs>
            <w:spacing w:line="362" w:lineRule="auto"/>
          </w:pPr>
          <w:hyperlink w:anchor="_TOC_250009" w:history="1">
            <w:r w:rsidR="002244C1">
              <w:t xml:space="preserve">§ 1. Понятие и особенности сделок и действий должника как предмета </w:t>
            </w:r>
            <w:r w:rsidR="002244C1">
              <w:rPr>
                <w:spacing w:val="-2"/>
              </w:rPr>
              <w:t>оспаривания</w:t>
            </w:r>
            <w:r w:rsidR="002244C1">
              <w:rPr>
                <w:spacing w:val="-10"/>
              </w:rPr>
              <w:t xml:space="preserve"> </w:t>
            </w:r>
            <w:r w:rsidR="002244C1">
              <w:rPr>
                <w:spacing w:val="-2"/>
              </w:rPr>
              <w:t>в</w:t>
            </w:r>
            <w:r w:rsidR="002244C1">
              <w:rPr>
                <w:spacing w:val="-10"/>
              </w:rPr>
              <w:t xml:space="preserve"> </w:t>
            </w:r>
            <w:r w:rsidR="002244C1">
              <w:rPr>
                <w:spacing w:val="-2"/>
              </w:rPr>
              <w:t>деле</w:t>
            </w:r>
            <w:r w:rsidR="002244C1">
              <w:rPr>
                <w:spacing w:val="-10"/>
              </w:rPr>
              <w:t xml:space="preserve"> </w:t>
            </w:r>
            <w:r w:rsidR="002244C1">
              <w:rPr>
                <w:spacing w:val="-2"/>
              </w:rPr>
              <w:t>о</w:t>
            </w:r>
            <w:r w:rsidR="002244C1">
              <w:rPr>
                <w:spacing w:val="-7"/>
              </w:rPr>
              <w:t xml:space="preserve"> </w:t>
            </w:r>
            <w:r w:rsidR="002244C1">
              <w:rPr>
                <w:spacing w:val="-2"/>
              </w:rPr>
              <w:t>несостоятельности</w:t>
            </w:r>
            <w:r w:rsidR="002244C1">
              <w:rPr>
                <w:spacing w:val="-11"/>
              </w:rPr>
              <w:t xml:space="preserve"> </w:t>
            </w:r>
            <w:r w:rsidR="002244C1">
              <w:rPr>
                <w:spacing w:val="-2"/>
              </w:rPr>
              <w:t>(банкротстве)</w:t>
            </w:r>
            <w:r w:rsidR="002244C1">
              <w:tab/>
            </w:r>
            <w:r w:rsidR="002244C1">
              <w:rPr>
                <w:spacing w:val="-10"/>
              </w:rPr>
              <w:t>7</w:t>
            </w:r>
          </w:hyperlink>
        </w:p>
        <w:p w14:paraId="42351254" w14:textId="77777777" w:rsidR="006E62E2" w:rsidRDefault="005C2F4F">
          <w:pPr>
            <w:pStyle w:val="2"/>
            <w:tabs>
              <w:tab w:val="left" w:leader="dot" w:pos="9356"/>
            </w:tabs>
            <w:spacing w:line="360" w:lineRule="auto"/>
            <w:ind w:firstLine="1055"/>
          </w:pPr>
          <w:hyperlink w:anchor="_TOC_250008" w:history="1">
            <w:r w:rsidR="002244C1">
              <w:t>§ 2. Порядок и условия оспаривания сделок должника в соответствии с главой</w:t>
            </w:r>
            <w:r w:rsidR="002244C1">
              <w:rPr>
                <w:spacing w:val="-14"/>
              </w:rPr>
              <w:t xml:space="preserve"> </w:t>
            </w:r>
            <w:r w:rsidR="002244C1">
              <w:t>III</w:t>
            </w:r>
            <w:r w:rsidR="002244C1">
              <w:rPr>
                <w:vertAlign w:val="superscript"/>
              </w:rPr>
              <w:t>1</w:t>
            </w:r>
            <w:r w:rsidR="002244C1">
              <w:rPr>
                <w:spacing w:val="-14"/>
              </w:rPr>
              <w:t xml:space="preserve"> </w:t>
            </w:r>
            <w:r w:rsidR="002244C1">
              <w:t>Закона</w:t>
            </w:r>
            <w:r w:rsidR="002244C1">
              <w:rPr>
                <w:spacing w:val="-14"/>
              </w:rPr>
              <w:t xml:space="preserve"> </w:t>
            </w:r>
            <w:r w:rsidR="002244C1">
              <w:t>о</w:t>
            </w:r>
            <w:r w:rsidR="002244C1">
              <w:rPr>
                <w:spacing w:val="-14"/>
              </w:rPr>
              <w:t xml:space="preserve"> </w:t>
            </w:r>
            <w:r w:rsidR="002244C1">
              <w:rPr>
                <w:spacing w:val="-2"/>
              </w:rPr>
              <w:t>банкротстве</w:t>
            </w:r>
            <w:r w:rsidR="002244C1">
              <w:tab/>
            </w:r>
            <w:r w:rsidR="002244C1">
              <w:rPr>
                <w:spacing w:val="-5"/>
              </w:rPr>
              <w:t>16</w:t>
            </w:r>
          </w:hyperlink>
        </w:p>
        <w:p w14:paraId="090CFCAE" w14:textId="77777777" w:rsidR="006E62E2" w:rsidRDefault="005C2F4F">
          <w:pPr>
            <w:pStyle w:val="10"/>
            <w:spacing w:line="362" w:lineRule="auto"/>
            <w:ind w:right="139"/>
          </w:pPr>
          <w:hyperlink w:anchor="_TOC_250007" w:history="1">
            <w:r w:rsidR="002244C1">
              <w:t>Глава</w:t>
            </w:r>
            <w:r w:rsidR="002244C1">
              <w:rPr>
                <w:spacing w:val="-3"/>
              </w:rPr>
              <w:t xml:space="preserve"> </w:t>
            </w:r>
            <w:r w:rsidR="002244C1">
              <w:t>II.</w:t>
            </w:r>
            <w:r w:rsidR="002244C1">
              <w:rPr>
                <w:spacing w:val="-5"/>
              </w:rPr>
              <w:t xml:space="preserve"> </w:t>
            </w:r>
            <w:r w:rsidR="002244C1">
              <w:t>Особенности</w:t>
            </w:r>
            <w:r w:rsidR="002244C1">
              <w:rPr>
                <w:spacing w:val="-5"/>
              </w:rPr>
              <w:t xml:space="preserve"> </w:t>
            </w:r>
            <w:r w:rsidR="002244C1">
              <w:t>оспаривания</w:t>
            </w:r>
            <w:r w:rsidR="002244C1">
              <w:rPr>
                <w:spacing w:val="-7"/>
              </w:rPr>
              <w:t xml:space="preserve"> </w:t>
            </w:r>
            <w:r w:rsidR="002244C1">
              <w:t>сделок</w:t>
            </w:r>
            <w:r w:rsidR="002244C1">
              <w:rPr>
                <w:spacing w:val="-5"/>
              </w:rPr>
              <w:t xml:space="preserve"> </w:t>
            </w:r>
            <w:r w:rsidR="002244C1">
              <w:t>кредитной</w:t>
            </w:r>
            <w:r w:rsidR="002244C1">
              <w:rPr>
                <w:spacing w:val="-8"/>
              </w:rPr>
              <w:t xml:space="preserve"> </w:t>
            </w:r>
            <w:r w:rsidR="002244C1">
              <w:t>организации в деле о несостоятельности (банкротстве):</w:t>
            </w:r>
          </w:hyperlink>
        </w:p>
        <w:p w14:paraId="524662B8" w14:textId="77777777" w:rsidR="006E62E2" w:rsidRDefault="005C2F4F">
          <w:pPr>
            <w:pStyle w:val="2"/>
            <w:tabs>
              <w:tab w:val="left" w:leader="dot" w:pos="9358"/>
            </w:tabs>
            <w:spacing w:line="360" w:lineRule="auto"/>
            <w:ind w:firstLine="1058"/>
          </w:pPr>
          <w:hyperlink w:anchor="_TOC_250006" w:history="1">
            <w:r w:rsidR="002244C1">
              <w:t>§ 1. Специальные положения об оспаривании сделок кредитной организации</w:t>
            </w:r>
            <w:r w:rsidR="002244C1">
              <w:rPr>
                <w:spacing w:val="-10"/>
              </w:rPr>
              <w:t xml:space="preserve"> </w:t>
            </w:r>
            <w:r w:rsidR="002244C1">
              <w:t>по</w:t>
            </w:r>
            <w:r w:rsidR="002244C1">
              <w:rPr>
                <w:spacing w:val="-9"/>
              </w:rPr>
              <w:t xml:space="preserve"> </w:t>
            </w:r>
            <w:r w:rsidR="002244C1">
              <w:t>правилам</w:t>
            </w:r>
            <w:r w:rsidR="002244C1">
              <w:rPr>
                <w:spacing w:val="-9"/>
              </w:rPr>
              <w:t xml:space="preserve"> </w:t>
            </w:r>
            <w:r w:rsidR="002244C1">
              <w:t>статьи</w:t>
            </w:r>
            <w:r w:rsidR="002244C1">
              <w:rPr>
                <w:spacing w:val="-7"/>
              </w:rPr>
              <w:t xml:space="preserve"> </w:t>
            </w:r>
            <w:r w:rsidR="002244C1">
              <w:t>189</w:t>
            </w:r>
            <w:r w:rsidR="002244C1">
              <w:rPr>
                <w:vertAlign w:val="superscript"/>
              </w:rPr>
              <w:t>40</w:t>
            </w:r>
            <w:r w:rsidR="002244C1">
              <w:rPr>
                <w:spacing w:val="-7"/>
              </w:rPr>
              <w:t xml:space="preserve"> </w:t>
            </w:r>
            <w:r w:rsidR="002244C1">
              <w:t>Закона</w:t>
            </w:r>
            <w:r w:rsidR="002244C1">
              <w:rPr>
                <w:spacing w:val="-9"/>
              </w:rPr>
              <w:t xml:space="preserve"> </w:t>
            </w:r>
            <w:r w:rsidR="002244C1">
              <w:t>о</w:t>
            </w:r>
            <w:r w:rsidR="002244C1">
              <w:rPr>
                <w:spacing w:val="-9"/>
              </w:rPr>
              <w:t xml:space="preserve"> </w:t>
            </w:r>
            <w:r w:rsidR="002244C1">
              <w:rPr>
                <w:spacing w:val="-2"/>
              </w:rPr>
              <w:t>банкротстве</w:t>
            </w:r>
            <w:r w:rsidR="002244C1">
              <w:tab/>
            </w:r>
            <w:r w:rsidR="002244C1">
              <w:rPr>
                <w:spacing w:val="-5"/>
              </w:rPr>
              <w:t>28</w:t>
            </w:r>
          </w:hyperlink>
        </w:p>
        <w:p w14:paraId="71461FEE" w14:textId="77777777" w:rsidR="006E62E2" w:rsidRDefault="005C2F4F">
          <w:pPr>
            <w:pStyle w:val="2"/>
            <w:tabs>
              <w:tab w:val="left" w:leader="dot" w:pos="9358"/>
            </w:tabs>
            <w:spacing w:line="360" w:lineRule="auto"/>
          </w:pPr>
          <w:hyperlink w:anchor="_TOC_250005" w:history="1">
            <w:r w:rsidR="002244C1">
              <w:t xml:space="preserve">§ 2. Категория обычной хозяйственной деятельности кредитной </w:t>
            </w:r>
            <w:r w:rsidR="002244C1">
              <w:rPr>
                <w:spacing w:val="-2"/>
              </w:rPr>
              <w:t>организации</w:t>
            </w:r>
            <w:r w:rsidR="002244C1">
              <w:rPr>
                <w:spacing w:val="-4"/>
              </w:rPr>
              <w:t xml:space="preserve"> </w:t>
            </w:r>
            <w:r w:rsidR="002244C1">
              <w:rPr>
                <w:spacing w:val="-2"/>
              </w:rPr>
              <w:t>для</w:t>
            </w:r>
            <w:r w:rsidR="002244C1">
              <w:rPr>
                <w:spacing w:val="-7"/>
              </w:rPr>
              <w:t xml:space="preserve"> </w:t>
            </w:r>
            <w:r w:rsidR="002244C1">
              <w:rPr>
                <w:spacing w:val="-2"/>
              </w:rPr>
              <w:t>целей</w:t>
            </w:r>
            <w:r w:rsidR="002244C1">
              <w:rPr>
                <w:spacing w:val="-5"/>
              </w:rPr>
              <w:t xml:space="preserve"> </w:t>
            </w:r>
            <w:r w:rsidR="002244C1">
              <w:rPr>
                <w:spacing w:val="-2"/>
              </w:rPr>
              <w:t>оспаривания</w:t>
            </w:r>
            <w:r w:rsidR="002244C1">
              <w:rPr>
                <w:spacing w:val="-7"/>
              </w:rPr>
              <w:t xml:space="preserve"> </w:t>
            </w:r>
            <w:r w:rsidR="002244C1">
              <w:rPr>
                <w:spacing w:val="-2"/>
              </w:rPr>
              <w:t>сделок</w:t>
            </w:r>
            <w:r w:rsidR="002244C1">
              <w:tab/>
            </w:r>
            <w:r w:rsidR="002244C1">
              <w:rPr>
                <w:spacing w:val="-5"/>
              </w:rPr>
              <w:t>36</w:t>
            </w:r>
          </w:hyperlink>
        </w:p>
        <w:p w14:paraId="2A43EDAA" w14:textId="77777777" w:rsidR="006E62E2" w:rsidRDefault="002244C1">
          <w:pPr>
            <w:pStyle w:val="2"/>
            <w:tabs>
              <w:tab w:val="left" w:leader="dot" w:pos="9358"/>
            </w:tabs>
            <w:spacing w:line="360" w:lineRule="auto"/>
          </w:pPr>
          <w:r>
            <w:t>§ 3. Оспаривание сделок кредитной организации с вкладчиками- физическими</w:t>
          </w:r>
          <w:r>
            <w:rPr>
              <w:spacing w:val="-8"/>
            </w:rPr>
            <w:t xml:space="preserve"> </w:t>
          </w:r>
          <w:r>
            <w:t>лицами:</w:t>
          </w:r>
          <w:r>
            <w:rPr>
              <w:spacing w:val="-8"/>
            </w:rPr>
            <w:t xml:space="preserve"> </w:t>
          </w:r>
          <w:r>
            <w:t>правовые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аспекты</w:t>
          </w:r>
          <w:r>
            <w:tab/>
          </w:r>
          <w:r>
            <w:rPr>
              <w:spacing w:val="-5"/>
            </w:rPr>
            <w:t>45</w:t>
          </w:r>
        </w:p>
        <w:p w14:paraId="0B016482" w14:textId="77777777" w:rsidR="006E62E2" w:rsidRDefault="005C2F4F">
          <w:pPr>
            <w:pStyle w:val="4"/>
            <w:tabs>
              <w:tab w:val="left" w:leader="dot" w:pos="9329"/>
            </w:tabs>
            <w:rPr>
              <w:b w:val="0"/>
              <w:i w:val="0"/>
              <w:sz w:val="28"/>
            </w:rPr>
          </w:pPr>
          <w:hyperlink w:anchor="_TOC_250004" w:history="1">
            <w:r w:rsidR="002244C1">
              <w:rPr>
                <w:i w:val="0"/>
                <w:spacing w:val="-2"/>
                <w:sz w:val="28"/>
              </w:rPr>
              <w:t>Заключение</w:t>
            </w:r>
            <w:r w:rsidR="002244C1">
              <w:rPr>
                <w:b w:val="0"/>
                <w:i w:val="0"/>
                <w:sz w:val="28"/>
              </w:rPr>
              <w:tab/>
            </w:r>
            <w:r w:rsidR="002244C1">
              <w:rPr>
                <w:b w:val="0"/>
                <w:i w:val="0"/>
                <w:spacing w:val="-5"/>
                <w:sz w:val="28"/>
              </w:rPr>
              <w:t>50</w:t>
            </w:r>
          </w:hyperlink>
        </w:p>
        <w:p w14:paraId="4F798938" w14:textId="77777777" w:rsidR="006E62E2" w:rsidRDefault="005C2F4F">
          <w:pPr>
            <w:pStyle w:val="3"/>
            <w:tabs>
              <w:tab w:val="left" w:leader="dot" w:pos="9334"/>
            </w:tabs>
            <w:spacing w:before="149" w:line="362" w:lineRule="auto"/>
            <w:ind w:left="2" w:right="139" w:firstLine="1132"/>
            <w:rPr>
              <w:b w:val="0"/>
            </w:rPr>
          </w:pPr>
          <w:hyperlink w:anchor="_TOC_250003" w:history="1">
            <w:r w:rsidR="002244C1">
              <w:t>Список нормативных правовых актов и иных актов, обладающих нормативными</w:t>
            </w:r>
            <w:r w:rsidR="002244C1">
              <w:rPr>
                <w:spacing w:val="-9"/>
              </w:rPr>
              <w:t xml:space="preserve"> </w:t>
            </w:r>
            <w:r w:rsidR="002244C1">
              <w:rPr>
                <w:spacing w:val="-2"/>
              </w:rPr>
              <w:t>свойствами</w:t>
            </w:r>
            <w:r w:rsidR="002244C1">
              <w:rPr>
                <w:b w:val="0"/>
              </w:rPr>
              <w:tab/>
            </w:r>
            <w:r w:rsidR="002244C1">
              <w:rPr>
                <w:b w:val="0"/>
                <w:spacing w:val="-7"/>
              </w:rPr>
              <w:t>54</w:t>
            </w:r>
          </w:hyperlink>
        </w:p>
        <w:p w14:paraId="049219D1" w14:textId="77777777" w:rsidR="006E62E2" w:rsidRDefault="005C2F4F">
          <w:pPr>
            <w:pStyle w:val="3"/>
            <w:tabs>
              <w:tab w:val="left" w:leader="dot" w:pos="9317"/>
            </w:tabs>
            <w:spacing w:before="0" w:line="317" w:lineRule="exact"/>
            <w:rPr>
              <w:b w:val="0"/>
            </w:rPr>
          </w:pPr>
          <w:hyperlink w:anchor="_TOC_250002" w:history="1">
            <w:r w:rsidR="002244C1">
              <w:t>Список</w:t>
            </w:r>
            <w:r w:rsidR="002244C1">
              <w:rPr>
                <w:spacing w:val="-7"/>
              </w:rPr>
              <w:t xml:space="preserve"> </w:t>
            </w:r>
            <w:r w:rsidR="002244C1">
              <w:t>материалов</w:t>
            </w:r>
            <w:r w:rsidR="002244C1">
              <w:rPr>
                <w:spacing w:val="-6"/>
              </w:rPr>
              <w:t xml:space="preserve"> </w:t>
            </w:r>
            <w:r w:rsidR="002244C1">
              <w:t>судебной</w:t>
            </w:r>
            <w:r w:rsidR="002244C1">
              <w:rPr>
                <w:spacing w:val="-6"/>
              </w:rPr>
              <w:t xml:space="preserve"> </w:t>
            </w:r>
            <w:r w:rsidR="002244C1">
              <w:rPr>
                <w:spacing w:val="-2"/>
              </w:rPr>
              <w:t>практики</w:t>
            </w:r>
            <w:r w:rsidR="002244C1">
              <w:rPr>
                <w:b w:val="0"/>
              </w:rPr>
              <w:tab/>
            </w:r>
            <w:r w:rsidR="002244C1">
              <w:rPr>
                <w:b w:val="0"/>
                <w:spacing w:val="-5"/>
              </w:rPr>
              <w:t>55</w:t>
            </w:r>
          </w:hyperlink>
        </w:p>
        <w:p w14:paraId="73F50CB0" w14:textId="77777777" w:rsidR="006E62E2" w:rsidRDefault="005C2F4F">
          <w:pPr>
            <w:pStyle w:val="3"/>
            <w:tabs>
              <w:tab w:val="left" w:leader="dot" w:pos="9310"/>
            </w:tabs>
            <w:ind w:left="1127"/>
            <w:rPr>
              <w:b w:val="0"/>
            </w:rPr>
          </w:pPr>
          <w:hyperlink w:anchor="_TOC_250001" w:history="1">
            <w:r w:rsidR="002244C1">
              <w:t>Список</w:t>
            </w:r>
            <w:r w:rsidR="002244C1">
              <w:rPr>
                <w:spacing w:val="-8"/>
              </w:rPr>
              <w:t xml:space="preserve"> </w:t>
            </w:r>
            <w:r w:rsidR="002244C1">
              <w:t>использованной</w:t>
            </w:r>
            <w:r w:rsidR="002244C1">
              <w:rPr>
                <w:spacing w:val="-7"/>
              </w:rPr>
              <w:t xml:space="preserve"> </w:t>
            </w:r>
            <w:r w:rsidR="002244C1">
              <w:rPr>
                <w:spacing w:val="-2"/>
              </w:rPr>
              <w:t>литературы</w:t>
            </w:r>
            <w:r w:rsidR="002244C1">
              <w:rPr>
                <w:b w:val="0"/>
              </w:rPr>
              <w:tab/>
            </w:r>
            <w:r w:rsidR="002244C1">
              <w:rPr>
                <w:b w:val="0"/>
                <w:spacing w:val="-5"/>
              </w:rPr>
              <w:t>64</w:t>
            </w:r>
          </w:hyperlink>
        </w:p>
        <w:p w14:paraId="1AF4AAC2" w14:textId="77777777" w:rsidR="006E62E2" w:rsidRDefault="005C2F4F">
          <w:pPr>
            <w:pStyle w:val="3"/>
            <w:tabs>
              <w:tab w:val="left" w:leader="dot" w:pos="9313"/>
            </w:tabs>
            <w:rPr>
              <w:b w:val="0"/>
            </w:rPr>
          </w:pPr>
          <w:hyperlink w:anchor="_TOC_250000" w:history="1">
            <w:r w:rsidR="002244C1">
              <w:t>Иные</w:t>
            </w:r>
            <w:r w:rsidR="002244C1">
              <w:rPr>
                <w:spacing w:val="-6"/>
              </w:rPr>
              <w:t xml:space="preserve"> </w:t>
            </w:r>
            <w:r w:rsidR="002244C1">
              <w:rPr>
                <w:spacing w:val="-2"/>
              </w:rPr>
              <w:t>источники</w:t>
            </w:r>
            <w:r w:rsidR="002244C1">
              <w:rPr>
                <w:b w:val="0"/>
              </w:rPr>
              <w:tab/>
            </w:r>
            <w:r w:rsidR="002244C1">
              <w:rPr>
                <w:b w:val="0"/>
                <w:spacing w:val="-5"/>
              </w:rPr>
              <w:t>67</w:t>
            </w:r>
          </w:hyperlink>
        </w:p>
      </w:sdtContent>
    </w:sdt>
    <w:p w14:paraId="3747A0D4" w14:textId="77777777" w:rsidR="006E62E2" w:rsidRDefault="006E62E2">
      <w:pPr>
        <w:pStyle w:val="3"/>
        <w:rPr>
          <w:b w:val="0"/>
        </w:rPr>
        <w:sectPr w:rsidR="006E62E2">
          <w:footerReference w:type="default" r:id="rId7"/>
          <w:pgSz w:w="11900" w:h="16850"/>
          <w:pgMar w:top="860" w:right="425" w:bottom="960" w:left="1700" w:header="0" w:footer="772" w:gutter="0"/>
          <w:pgNumType w:start="2"/>
          <w:cols w:space="720"/>
        </w:sectPr>
      </w:pPr>
    </w:p>
    <w:p w14:paraId="51F1C260" w14:textId="77777777" w:rsidR="006E62E2" w:rsidRDefault="002244C1">
      <w:pPr>
        <w:pStyle w:val="1"/>
      </w:pPr>
      <w:bookmarkStart w:id="0" w:name="_TOC_250010"/>
      <w:bookmarkEnd w:id="0"/>
      <w:r>
        <w:rPr>
          <w:color w:val="C00000"/>
          <w:spacing w:val="-2"/>
        </w:rPr>
        <w:lastRenderedPageBreak/>
        <w:t>Введение</w:t>
      </w:r>
    </w:p>
    <w:p w14:paraId="42BAC327" w14:textId="77777777" w:rsidR="006E62E2" w:rsidRDefault="006E62E2">
      <w:pPr>
        <w:pStyle w:val="a3"/>
        <w:spacing w:before="321"/>
        <w:ind w:left="0"/>
        <w:jc w:val="left"/>
        <w:rPr>
          <w:b/>
        </w:rPr>
      </w:pPr>
    </w:p>
    <w:p w14:paraId="11DD86B0" w14:textId="77777777" w:rsidR="006E62E2" w:rsidRDefault="002244C1">
      <w:pPr>
        <w:pStyle w:val="a3"/>
        <w:spacing w:line="360" w:lineRule="auto"/>
        <w:ind w:right="135" w:firstLine="707"/>
      </w:pPr>
      <w:r>
        <w:t>В настоящей работе автором рассматривается ряд вопросов, непосредственно связанных с порядком и основаниями оспаривания сделок кредитной организации в деле о несостоятельности (банкротстве)</w:t>
      </w:r>
      <w:r>
        <w:rPr>
          <w:vertAlign w:val="superscript"/>
        </w:rPr>
        <w:t>1</w:t>
      </w:r>
      <w:r>
        <w:t>, а также с последствиями признания указанных сделок недействительными.</w:t>
      </w:r>
    </w:p>
    <w:p w14:paraId="7A84C767" w14:textId="77777777" w:rsidR="006E62E2" w:rsidRDefault="002244C1">
      <w:pPr>
        <w:pStyle w:val="a3"/>
        <w:spacing w:before="1" w:line="360" w:lineRule="auto"/>
        <w:ind w:right="136" w:firstLine="707"/>
      </w:pPr>
      <w:r>
        <w:t>Актуальность выбранной темы обусловлена следующим: особая роль кредитных организаций в финансовой системе Российской Федерации предполагает установление повышенных требований к обеспечению экономической безопасности их деятельности, в том числе механизмов банковского надзора и предупреждения банкротства кредитных организаций.</w:t>
      </w:r>
    </w:p>
    <w:p w14:paraId="52E2C6D5" w14:textId="77777777" w:rsidR="006E62E2" w:rsidRDefault="002244C1">
      <w:pPr>
        <w:pStyle w:val="a3"/>
        <w:spacing w:before="2" w:line="360" w:lineRule="auto"/>
        <w:ind w:right="134" w:firstLine="707"/>
      </w:pPr>
      <w:r>
        <w:t>Вместе с тем введение специального правового регулирования само по себе не гарантирует безупречное функционирование субъектов финансового рынка,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становится</w:t>
      </w:r>
      <w:r>
        <w:rPr>
          <w:spacing w:val="-12"/>
        </w:rPr>
        <w:t xml:space="preserve"> </w:t>
      </w:r>
      <w:r>
        <w:t>особенно</w:t>
      </w:r>
      <w:r>
        <w:rPr>
          <w:spacing w:val="-14"/>
        </w:rPr>
        <w:t xml:space="preserve"> </w:t>
      </w:r>
      <w:r>
        <w:t>очевидным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рассмотрении</w:t>
      </w:r>
      <w:r>
        <w:rPr>
          <w:spacing w:val="-14"/>
        </w:rPr>
        <w:t xml:space="preserve"> </w:t>
      </w:r>
      <w:r>
        <w:t>дел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банкротстве с учетом наличествующей практики признания недействительными сделок, совершенных кредитной организацией или иными лицами за ее счет.</w:t>
      </w:r>
    </w:p>
    <w:p w14:paraId="60F2C280" w14:textId="77777777" w:rsidR="006E62E2" w:rsidRDefault="002244C1">
      <w:pPr>
        <w:pStyle w:val="a3"/>
        <w:spacing w:line="360" w:lineRule="auto"/>
        <w:ind w:right="137" w:firstLine="707"/>
      </w:pPr>
      <w:r>
        <w:t xml:space="preserve">Неплатежеспособность банковских и небанковских кредитных организаций, выступающая триггером запуска </w:t>
      </w:r>
      <w:proofErr w:type="spellStart"/>
      <w:r>
        <w:t>банкротных</w:t>
      </w:r>
      <w:proofErr w:type="spellEnd"/>
      <w:r>
        <w:t xml:space="preserve"> процедур, требует вовлечения в процесс представителей Центрального Банка Российской Федерации</w:t>
      </w:r>
      <w:r>
        <w:rPr>
          <w:spacing w:val="-8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Банк</w:t>
      </w:r>
      <w:r>
        <w:rPr>
          <w:spacing w:val="-8"/>
        </w:rPr>
        <w:t xml:space="preserve"> </w:t>
      </w:r>
      <w:r>
        <w:t>России),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образованных</w:t>
      </w:r>
      <w:r>
        <w:rPr>
          <w:spacing w:val="-8"/>
        </w:rPr>
        <w:t xml:space="preserve"> </w:t>
      </w:r>
      <w:r>
        <w:t xml:space="preserve">в соответствии с законодательными актами Российской Федерации и решениями </w:t>
      </w:r>
      <w:r>
        <w:rPr>
          <w:spacing w:val="-2"/>
        </w:rPr>
        <w:t>регулятора.</w:t>
      </w:r>
    </w:p>
    <w:p w14:paraId="5C1CA2A2" w14:textId="77777777" w:rsidR="006E62E2" w:rsidRDefault="002244C1">
      <w:pPr>
        <w:pStyle w:val="a3"/>
        <w:spacing w:line="360" w:lineRule="auto"/>
        <w:ind w:right="135" w:firstLine="707"/>
      </w:pPr>
      <w:r>
        <w:t>Изучение и разработка рассматриваемых вопросов особенно необходимы в силу того, что несостоятельность кредитной организации является серьезным стресс-фактором для широкого круга лиц: вкладчиков должника и других его добросовестных контрагентов. Применение последствий недействительности в отношении, например, сделок банка может отрицательно влиять на имущественные интересы клиентов кредитной организации.</w:t>
      </w:r>
    </w:p>
    <w:p w14:paraId="5197FD8A" w14:textId="77777777" w:rsidR="006E62E2" w:rsidRDefault="002244C1">
      <w:pPr>
        <w:pStyle w:val="a3"/>
        <w:spacing w:before="5"/>
        <w:ind w:left="0"/>
        <w:jc w:val="lef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68483B" wp14:editId="24A7EBB5">
                <wp:simplePos x="0" y="0"/>
                <wp:positionH relativeFrom="page">
                  <wp:posOffset>1080820</wp:posOffset>
                </wp:positionH>
                <wp:positionV relativeFrom="paragraph">
                  <wp:posOffset>142571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DB4F3" id="Graphic 6" o:spid="_x0000_s1026" style="position:absolute;margin-left:85.1pt;margin-top:11.2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E6650F" w14:textId="77777777" w:rsidR="006E62E2" w:rsidRDefault="002244C1">
      <w:pPr>
        <w:spacing w:before="103"/>
        <w:ind w:left="2" w:right="140"/>
        <w:jc w:val="both"/>
        <w:rPr>
          <w:i/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z w:val="20"/>
        </w:rPr>
        <w:t xml:space="preserve"> В настоящей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работе под делом о несостоятельности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(банкротстве)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понимается дело о несостоятельности (банкротстве), возбужденное как в отношении кредитной организации, так и в отношении иного лица, если оспариваемая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рамках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соответствующего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обособленного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спора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сделка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совершена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кредитной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организацией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или за ее счет</w:t>
      </w:r>
    </w:p>
    <w:p w14:paraId="77BFC6B0" w14:textId="77777777" w:rsidR="006E62E2" w:rsidRDefault="006E62E2">
      <w:pPr>
        <w:jc w:val="both"/>
        <w:rPr>
          <w:i/>
          <w:sz w:val="20"/>
        </w:rPr>
        <w:sectPr w:rsidR="006E62E2">
          <w:pgSz w:w="11900" w:h="16850"/>
          <w:pgMar w:top="860" w:right="425" w:bottom="960" w:left="1700" w:header="0" w:footer="772" w:gutter="0"/>
          <w:cols w:space="720"/>
        </w:sectPr>
      </w:pPr>
    </w:p>
    <w:p w14:paraId="2E8920BF" w14:textId="2679D9F9" w:rsidR="006E62E2" w:rsidRDefault="006E62E2" w:rsidP="00292E8C">
      <w:pPr>
        <w:pStyle w:val="a3"/>
        <w:spacing w:before="63" w:line="360" w:lineRule="auto"/>
        <w:ind w:right="134" w:firstLine="707"/>
      </w:pPr>
    </w:p>
    <w:sectPr w:rsidR="006E62E2">
      <w:pgSz w:w="11900" w:h="16850"/>
      <w:pgMar w:top="860" w:right="425" w:bottom="960" w:left="17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8A42" w14:textId="77777777" w:rsidR="005C2F4F" w:rsidRDefault="005C2F4F">
      <w:r>
        <w:separator/>
      </w:r>
    </w:p>
  </w:endnote>
  <w:endnote w:type="continuationSeparator" w:id="0">
    <w:p w14:paraId="69B45739" w14:textId="77777777" w:rsidR="005C2F4F" w:rsidRDefault="005C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B3F6" w14:textId="77777777" w:rsidR="006E62E2" w:rsidRDefault="002244C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43744" behindDoc="1" locked="0" layoutInCell="1" allowOverlap="1" wp14:anchorId="55001956" wp14:editId="7FD8D347">
              <wp:simplePos x="0" y="0"/>
              <wp:positionH relativeFrom="page">
                <wp:posOffset>3961003</wp:posOffset>
              </wp:positionH>
              <wp:positionV relativeFrom="page">
                <wp:posOffset>10063818</wp:posOffset>
              </wp:positionV>
              <wp:extent cx="3556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2E3F3B" w14:textId="77777777" w:rsidR="006E62E2" w:rsidRDefault="002244C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5E460D"/>
                              <w:sz w:val="24"/>
                            </w:rPr>
                            <w:t>-</w:t>
                          </w:r>
                          <w:r>
                            <w:rPr>
                              <w:color w:val="5E460D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E460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5E460D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5E460D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5E460D"/>
                              <w:sz w:val="24"/>
                            </w:rPr>
                            <w:t>10</w:t>
                          </w:r>
                          <w:r>
                            <w:rPr>
                              <w:color w:val="5E460D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5E460D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E460D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0195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1.9pt;margin-top:792.45pt;width:28pt;height:15.3pt;z-index:-163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" filled="f" stroked="f">
              <v:textbox inset="0,0,0,0">
                <w:txbxContent>
                  <w:p w14:paraId="3C2E3F3B" w14:textId="77777777" w:rsidR="006E62E2" w:rsidRDefault="002244C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5E460D"/>
                        <w:sz w:val="24"/>
                      </w:rPr>
                      <w:t>-</w:t>
                    </w:r>
                    <w:r>
                      <w:rPr>
                        <w:color w:val="5E460D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E460D"/>
                        <w:sz w:val="24"/>
                      </w:rPr>
                      <w:fldChar w:fldCharType="begin"/>
                    </w:r>
                    <w:r>
                      <w:rPr>
                        <w:color w:val="5E460D"/>
                        <w:sz w:val="24"/>
                      </w:rPr>
                      <w:instrText xml:space="preserve"> PAGE </w:instrText>
                    </w:r>
                    <w:r>
                      <w:rPr>
                        <w:color w:val="5E460D"/>
                        <w:sz w:val="24"/>
                      </w:rPr>
                      <w:fldChar w:fldCharType="separate"/>
                    </w:r>
                    <w:r>
                      <w:rPr>
                        <w:color w:val="5E460D"/>
                        <w:sz w:val="24"/>
                      </w:rPr>
                      <w:t>10</w:t>
                    </w:r>
                    <w:r>
                      <w:rPr>
                        <w:color w:val="5E460D"/>
                        <w:sz w:val="24"/>
                      </w:rPr>
                      <w:fldChar w:fldCharType="end"/>
                    </w:r>
                    <w:r>
                      <w:rPr>
                        <w:color w:val="5E460D"/>
                        <w:sz w:val="24"/>
                      </w:rPr>
                      <w:t xml:space="preserve"> </w:t>
                    </w:r>
                    <w:r>
                      <w:rPr>
                        <w:color w:val="5E460D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5B1F" w14:textId="77777777" w:rsidR="005C2F4F" w:rsidRDefault="005C2F4F">
      <w:r>
        <w:separator/>
      </w:r>
    </w:p>
  </w:footnote>
  <w:footnote w:type="continuationSeparator" w:id="0">
    <w:p w14:paraId="2FE5FC40" w14:textId="77777777" w:rsidR="005C2F4F" w:rsidRDefault="005C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D5FF4"/>
    <w:multiLevelType w:val="hybridMultilevel"/>
    <w:tmpl w:val="BF42FA6E"/>
    <w:lvl w:ilvl="0" w:tplc="15B87C76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8"/>
        <w:szCs w:val="28"/>
        <w:lang w:val="ru-RU" w:eastAsia="en-US" w:bidi="ar-SA"/>
      </w:rPr>
    </w:lvl>
    <w:lvl w:ilvl="1" w:tplc="33581442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2" w:tplc="7518AFE8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3" w:tplc="DD7A2ABE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 w:tplc="1F2057E4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5D74A864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80744062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7" w:tplc="67F80B1E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C9AC80AC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2D17B8A"/>
    <w:multiLevelType w:val="hybridMultilevel"/>
    <w:tmpl w:val="7892FE80"/>
    <w:lvl w:ilvl="0" w:tplc="FD1A9232">
      <w:start w:val="2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8"/>
        <w:szCs w:val="28"/>
        <w:lang w:val="ru-RU" w:eastAsia="en-US" w:bidi="ar-SA"/>
      </w:rPr>
    </w:lvl>
    <w:lvl w:ilvl="1" w:tplc="214A8C4C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2" w:tplc="CC6E1DC0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3" w:tplc="D3446004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 w:tplc="D1F418A4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D1205F96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54663E58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7" w:tplc="185612AC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92622560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509034E"/>
    <w:multiLevelType w:val="hybridMultilevel"/>
    <w:tmpl w:val="DBB8E264"/>
    <w:lvl w:ilvl="0" w:tplc="BF829114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8"/>
        <w:szCs w:val="28"/>
        <w:lang w:val="ru-RU" w:eastAsia="en-US" w:bidi="ar-SA"/>
      </w:rPr>
    </w:lvl>
    <w:lvl w:ilvl="1" w:tplc="4D726BB4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2" w:tplc="50CE8706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3" w:tplc="502E437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 w:tplc="4FF86A90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775EC7C2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F49238C4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7" w:tplc="34A62108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AF3E7504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50545E9"/>
    <w:multiLevelType w:val="hybridMultilevel"/>
    <w:tmpl w:val="8EF017FC"/>
    <w:lvl w:ilvl="0" w:tplc="92680C38">
      <w:start w:val="1"/>
      <w:numFmt w:val="decimal"/>
      <w:lvlText w:val="%1."/>
      <w:lvlJc w:val="left"/>
      <w:pPr>
        <w:ind w:left="762" w:hanging="4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8"/>
        <w:szCs w:val="28"/>
        <w:lang w:val="ru-RU" w:eastAsia="en-US" w:bidi="ar-SA"/>
      </w:rPr>
    </w:lvl>
    <w:lvl w:ilvl="1" w:tplc="44E42C00">
      <w:numFmt w:val="bullet"/>
      <w:lvlText w:val="•"/>
      <w:lvlJc w:val="left"/>
      <w:pPr>
        <w:ind w:left="1661" w:hanging="401"/>
      </w:pPr>
      <w:rPr>
        <w:rFonts w:hint="default"/>
        <w:lang w:val="ru-RU" w:eastAsia="en-US" w:bidi="ar-SA"/>
      </w:rPr>
    </w:lvl>
    <w:lvl w:ilvl="2" w:tplc="6BA05876">
      <w:numFmt w:val="bullet"/>
      <w:lvlText w:val="•"/>
      <w:lvlJc w:val="left"/>
      <w:pPr>
        <w:ind w:left="2562" w:hanging="401"/>
      </w:pPr>
      <w:rPr>
        <w:rFonts w:hint="default"/>
        <w:lang w:val="ru-RU" w:eastAsia="en-US" w:bidi="ar-SA"/>
      </w:rPr>
    </w:lvl>
    <w:lvl w:ilvl="3" w:tplc="09FEA7C0">
      <w:numFmt w:val="bullet"/>
      <w:lvlText w:val="•"/>
      <w:lvlJc w:val="left"/>
      <w:pPr>
        <w:ind w:left="3464" w:hanging="401"/>
      </w:pPr>
      <w:rPr>
        <w:rFonts w:hint="default"/>
        <w:lang w:val="ru-RU" w:eastAsia="en-US" w:bidi="ar-SA"/>
      </w:rPr>
    </w:lvl>
    <w:lvl w:ilvl="4" w:tplc="EED864F6">
      <w:numFmt w:val="bullet"/>
      <w:lvlText w:val="•"/>
      <w:lvlJc w:val="left"/>
      <w:pPr>
        <w:ind w:left="4365" w:hanging="401"/>
      </w:pPr>
      <w:rPr>
        <w:rFonts w:hint="default"/>
        <w:lang w:val="ru-RU" w:eastAsia="en-US" w:bidi="ar-SA"/>
      </w:rPr>
    </w:lvl>
    <w:lvl w:ilvl="5" w:tplc="C044A186">
      <w:numFmt w:val="bullet"/>
      <w:lvlText w:val="•"/>
      <w:lvlJc w:val="left"/>
      <w:pPr>
        <w:ind w:left="5267" w:hanging="401"/>
      </w:pPr>
      <w:rPr>
        <w:rFonts w:hint="default"/>
        <w:lang w:val="ru-RU" w:eastAsia="en-US" w:bidi="ar-SA"/>
      </w:rPr>
    </w:lvl>
    <w:lvl w:ilvl="6" w:tplc="3634F106">
      <w:numFmt w:val="bullet"/>
      <w:lvlText w:val="•"/>
      <w:lvlJc w:val="left"/>
      <w:pPr>
        <w:ind w:left="6168" w:hanging="401"/>
      </w:pPr>
      <w:rPr>
        <w:rFonts w:hint="default"/>
        <w:lang w:val="ru-RU" w:eastAsia="en-US" w:bidi="ar-SA"/>
      </w:rPr>
    </w:lvl>
    <w:lvl w:ilvl="7" w:tplc="202A505C">
      <w:numFmt w:val="bullet"/>
      <w:lvlText w:val="•"/>
      <w:lvlJc w:val="left"/>
      <w:pPr>
        <w:ind w:left="7069" w:hanging="401"/>
      </w:pPr>
      <w:rPr>
        <w:rFonts w:hint="default"/>
        <w:lang w:val="ru-RU" w:eastAsia="en-US" w:bidi="ar-SA"/>
      </w:rPr>
    </w:lvl>
    <w:lvl w:ilvl="8" w:tplc="4F96A390">
      <w:numFmt w:val="bullet"/>
      <w:lvlText w:val="•"/>
      <w:lvlJc w:val="left"/>
      <w:pPr>
        <w:ind w:left="7971" w:hanging="4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62E2"/>
    <w:rsid w:val="002244C1"/>
    <w:rsid w:val="00292E8C"/>
    <w:rsid w:val="005C2F4F"/>
    <w:rsid w:val="006E62E2"/>
    <w:rsid w:val="00D5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AD5B"/>
  <w15:docId w15:val="{8AE6FF4E-4507-4F77-9081-F720DA97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3"/>
      <w:ind w:right="1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" w:firstLine="1055"/>
      <w:jc w:val="both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2" w:right="133" w:firstLine="1048"/>
      <w:jc w:val="both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0"/>
      <w:ind w:left="1134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line="321" w:lineRule="exact"/>
      <w:ind w:left="1127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1" w:right="13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 V.</cp:lastModifiedBy>
  <cp:revision>3</cp:revision>
  <dcterms:created xsi:type="dcterms:W3CDTF">2025-01-14T07:00:00Z</dcterms:created>
  <dcterms:modified xsi:type="dcterms:W3CDTF">2025-01-31T12:38:00Z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