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DB09" w14:textId="77777777" w:rsidR="00531796" w:rsidRDefault="00FB328B">
      <w:pPr>
        <w:spacing w:before="74"/>
        <w:ind w:right="139"/>
        <w:jc w:val="center"/>
        <w:rPr>
          <w:b/>
          <w:sz w:val="28"/>
        </w:rPr>
      </w:pPr>
      <w:r>
        <w:rPr>
          <w:b/>
          <w:spacing w:val="-2"/>
          <w:sz w:val="28"/>
        </w:rPr>
        <w:t>Оглавление</w:t>
      </w:r>
    </w:p>
    <w:p w14:paraId="69FECE78" w14:textId="77777777" w:rsidR="00531796" w:rsidRDefault="00FB328B">
      <w:pPr>
        <w:spacing w:before="164"/>
        <w:ind w:left="2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14:paraId="6F43C881" w14:textId="77777777" w:rsidR="00531796" w:rsidRDefault="00FB328B">
      <w:pPr>
        <w:pStyle w:val="a3"/>
        <w:tabs>
          <w:tab w:val="left" w:pos="925"/>
          <w:tab w:val="left" w:pos="1374"/>
          <w:tab w:val="left" w:pos="2353"/>
          <w:tab w:val="left" w:pos="2868"/>
          <w:tab w:val="left" w:pos="5585"/>
          <w:tab w:val="left" w:pos="6777"/>
          <w:tab w:val="left" w:pos="7769"/>
          <w:tab w:val="left" w:pos="8160"/>
          <w:tab w:val="left" w:pos="9083"/>
        </w:tabs>
        <w:spacing w:before="160" w:line="360" w:lineRule="auto"/>
        <w:ind w:left="2" w:right="139"/>
      </w:pPr>
      <w:r>
        <w:rPr>
          <w:spacing w:val="-2"/>
        </w:rPr>
        <w:t>Глава</w:t>
      </w:r>
      <w:r>
        <w:tab/>
      </w:r>
      <w:r>
        <w:rPr>
          <w:spacing w:val="-6"/>
        </w:rPr>
        <w:t>1.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неприкосновенность</w:t>
      </w:r>
      <w:r>
        <w:tab/>
      </w:r>
      <w:r>
        <w:rPr>
          <w:spacing w:val="-2"/>
        </w:rPr>
        <w:t>частной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 xml:space="preserve">на </w:t>
      </w:r>
      <w:r>
        <w:t>неприкосновенность личности в уголовном процессе.</w:t>
      </w:r>
    </w:p>
    <w:p w14:paraId="166FE0D2" w14:textId="77777777" w:rsidR="00531796" w:rsidRDefault="00FB328B">
      <w:pPr>
        <w:pStyle w:val="a3"/>
        <w:spacing w:line="321" w:lineRule="exact"/>
        <w:ind w:left="710"/>
      </w:pPr>
      <w:r>
        <w:t>§1.</w:t>
      </w:r>
      <w:r>
        <w:rPr>
          <w:spacing w:val="-1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неприкосновенность</w:t>
      </w:r>
      <w:r>
        <w:rPr>
          <w:spacing w:val="-9"/>
        </w:rPr>
        <w:t xml:space="preserve"> </w:t>
      </w:r>
      <w:r>
        <w:t>частной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уголовном </w:t>
      </w:r>
      <w:r>
        <w:rPr>
          <w:spacing w:val="-2"/>
        </w:rPr>
        <w:t>процессе.</w:t>
      </w:r>
    </w:p>
    <w:p w14:paraId="5D1097C0" w14:textId="77777777" w:rsidR="00531796" w:rsidRDefault="00FB328B">
      <w:pPr>
        <w:pStyle w:val="a4"/>
        <w:numPr>
          <w:ilvl w:val="2"/>
          <w:numId w:val="12"/>
        </w:numPr>
        <w:tabs>
          <w:tab w:val="left" w:pos="1840"/>
          <w:tab w:val="left" w:pos="4007"/>
          <w:tab w:val="left" w:pos="5557"/>
          <w:tab w:val="left" w:pos="7905"/>
          <w:tab w:val="left" w:pos="9075"/>
        </w:tabs>
        <w:spacing w:before="163" w:line="360" w:lineRule="auto"/>
        <w:ind w:right="145" w:firstLine="707"/>
        <w:rPr>
          <w:sz w:val="28"/>
        </w:rPr>
      </w:pPr>
      <w:r>
        <w:rPr>
          <w:spacing w:val="-2"/>
          <w:sz w:val="28"/>
        </w:rPr>
        <w:t>Историческое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отечественного</w:t>
      </w:r>
      <w:r>
        <w:rPr>
          <w:sz w:val="28"/>
        </w:rPr>
        <w:tab/>
      </w:r>
      <w:r>
        <w:rPr>
          <w:spacing w:val="-2"/>
          <w:sz w:val="28"/>
        </w:rPr>
        <w:t>права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неприкосновенность частной жизни.</w:t>
      </w:r>
    </w:p>
    <w:p w14:paraId="609A9B2E" w14:textId="77777777" w:rsidR="00531796" w:rsidRDefault="00FB328B">
      <w:pPr>
        <w:pStyle w:val="a4"/>
        <w:numPr>
          <w:ilvl w:val="2"/>
          <w:numId w:val="12"/>
        </w:numPr>
        <w:tabs>
          <w:tab w:val="left" w:pos="1410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частной жизни: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тайны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уголовном </w:t>
      </w:r>
      <w:r>
        <w:rPr>
          <w:spacing w:val="-2"/>
          <w:sz w:val="28"/>
        </w:rPr>
        <w:t>судопроизводстве.</w:t>
      </w:r>
    </w:p>
    <w:p w14:paraId="26402C46" w14:textId="77777777" w:rsidR="00531796" w:rsidRDefault="00FB328B">
      <w:pPr>
        <w:pStyle w:val="a4"/>
        <w:numPr>
          <w:ilvl w:val="2"/>
          <w:numId w:val="12"/>
        </w:numPr>
        <w:tabs>
          <w:tab w:val="left" w:pos="1503"/>
        </w:tabs>
        <w:spacing w:before="1" w:line="360" w:lineRule="auto"/>
        <w:ind w:right="143" w:firstLine="707"/>
        <w:rPr>
          <w:sz w:val="28"/>
        </w:rPr>
      </w:pPr>
      <w:r>
        <w:rPr>
          <w:sz w:val="28"/>
        </w:rPr>
        <w:t>Частная</w:t>
      </w:r>
      <w:r>
        <w:rPr>
          <w:spacing w:val="80"/>
          <w:sz w:val="28"/>
        </w:rPr>
        <w:t xml:space="preserve"> </w:t>
      </w:r>
      <w:r>
        <w:rPr>
          <w:sz w:val="28"/>
        </w:rPr>
        <w:t>(личная)</w:t>
      </w:r>
      <w:r>
        <w:rPr>
          <w:spacing w:val="80"/>
          <w:sz w:val="28"/>
        </w:rPr>
        <w:t xml:space="preserve"> </w:t>
      </w:r>
      <w:r>
        <w:rPr>
          <w:sz w:val="28"/>
        </w:rPr>
        <w:t>жизнь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 пределы правомерного вмешательства в уголовном судопроизводстве.</w:t>
      </w:r>
    </w:p>
    <w:p w14:paraId="06EF36E0" w14:textId="77777777" w:rsidR="00531796" w:rsidRDefault="00FB328B">
      <w:pPr>
        <w:pStyle w:val="a3"/>
        <w:spacing w:line="321" w:lineRule="exact"/>
        <w:ind w:left="710"/>
      </w:pPr>
      <w:r>
        <w:t>§2.</w:t>
      </w:r>
      <w:r>
        <w:rPr>
          <w:spacing w:val="-12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неприкосновенность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уголовном</w:t>
      </w:r>
      <w:r>
        <w:rPr>
          <w:spacing w:val="-5"/>
        </w:rPr>
        <w:t xml:space="preserve"> </w:t>
      </w:r>
      <w:r>
        <w:rPr>
          <w:spacing w:val="-2"/>
        </w:rPr>
        <w:t>процессе.</w:t>
      </w:r>
    </w:p>
    <w:p w14:paraId="2218E0C1" w14:textId="77777777" w:rsidR="00531796" w:rsidRDefault="00FB328B">
      <w:pPr>
        <w:pStyle w:val="a4"/>
        <w:numPr>
          <w:ilvl w:val="2"/>
          <w:numId w:val="11"/>
        </w:numPr>
        <w:tabs>
          <w:tab w:val="left" w:pos="1573"/>
        </w:tabs>
        <w:spacing w:before="160" w:line="360" w:lineRule="auto"/>
        <w:ind w:firstLine="707"/>
        <w:jc w:val="both"/>
        <w:rPr>
          <w:sz w:val="28"/>
        </w:rPr>
      </w:pPr>
      <w:r>
        <w:rPr>
          <w:sz w:val="28"/>
        </w:rPr>
        <w:t>Характеристика права на неприкосновенность личности в уголовном процессе и его роль в системе конституционных прав и свобод человека и гражданина в исторической ретроспективе.</w:t>
      </w:r>
    </w:p>
    <w:p w14:paraId="2F731A7D" w14:textId="77777777" w:rsidR="00531796" w:rsidRDefault="00FB328B">
      <w:pPr>
        <w:pStyle w:val="a4"/>
        <w:numPr>
          <w:ilvl w:val="2"/>
          <w:numId w:val="11"/>
        </w:numPr>
        <w:tabs>
          <w:tab w:val="left" w:pos="1585"/>
        </w:tabs>
        <w:spacing w:before="1" w:line="360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Комплексный характер права на физическую (телесную), психическую и нравственную неприкосновенность личности в уголовном </w:t>
      </w:r>
      <w:r>
        <w:rPr>
          <w:spacing w:val="-2"/>
          <w:sz w:val="28"/>
        </w:rPr>
        <w:t>процессе.</w:t>
      </w:r>
    </w:p>
    <w:p w14:paraId="6DCC0719" w14:textId="77777777" w:rsidR="00531796" w:rsidRDefault="00FB328B">
      <w:pPr>
        <w:pStyle w:val="a3"/>
        <w:spacing w:before="1" w:line="360" w:lineRule="auto"/>
        <w:ind w:left="2" w:right="137"/>
        <w:jc w:val="both"/>
      </w:pPr>
      <w:r>
        <w:t>Глава 2. Допустимость и пределы ограничения прав на неприкосновенность частной (личной) жизни и личности в ходе расследования уголовного дела.</w:t>
      </w:r>
    </w:p>
    <w:p w14:paraId="4739342E" w14:textId="77777777" w:rsidR="00531796" w:rsidRDefault="00FB328B">
      <w:pPr>
        <w:pStyle w:val="a3"/>
        <w:spacing w:line="360" w:lineRule="auto"/>
        <w:ind w:left="2" w:right="146" w:firstLine="707"/>
        <w:jc w:val="both"/>
      </w:pPr>
      <w:r>
        <w:t>§1. Пределы ограничения права на неприкосновенность частной жизни и соответствующие гарантии в ходе расследования уголовного дела.</w:t>
      </w:r>
    </w:p>
    <w:p w14:paraId="7893AA57" w14:textId="77777777" w:rsidR="00531796" w:rsidRDefault="00FB328B">
      <w:pPr>
        <w:pStyle w:val="a3"/>
        <w:spacing w:line="360" w:lineRule="auto"/>
        <w:ind w:left="2" w:right="144" w:firstLine="707"/>
        <w:jc w:val="both"/>
      </w:pPr>
      <w:r>
        <w:t>§2. Ограничения неприкосновенности личности и гарантии недопустимости превышения пределов процессуального принуждения в отношении участников уголовного судопроизводства.</w:t>
      </w:r>
    </w:p>
    <w:p w14:paraId="53FABF72" w14:textId="77777777" w:rsidR="00531796" w:rsidRDefault="00FB328B">
      <w:pPr>
        <w:spacing w:line="362" w:lineRule="auto"/>
        <w:ind w:left="2" w:right="6946"/>
        <w:jc w:val="both"/>
        <w:rPr>
          <w:b/>
          <w:sz w:val="28"/>
        </w:rPr>
      </w:pPr>
      <w:r>
        <w:rPr>
          <w:b/>
          <w:spacing w:val="-2"/>
          <w:sz w:val="28"/>
        </w:rPr>
        <w:t>Заключение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литературы</w:t>
      </w:r>
    </w:p>
    <w:p w14:paraId="558F4B5C" w14:textId="77777777" w:rsidR="00531796" w:rsidRDefault="00531796">
      <w:pPr>
        <w:spacing w:line="362" w:lineRule="auto"/>
        <w:jc w:val="both"/>
        <w:rPr>
          <w:b/>
          <w:sz w:val="28"/>
        </w:rPr>
        <w:sectPr w:rsidR="00531796">
          <w:footerReference w:type="default" r:id="rId7"/>
          <w:pgSz w:w="11910" w:h="16840"/>
          <w:pgMar w:top="1040" w:right="708" w:bottom="1160" w:left="1700" w:header="0" w:footer="964" w:gutter="0"/>
          <w:pgNumType w:start="2"/>
          <w:cols w:space="720"/>
        </w:sectPr>
      </w:pPr>
    </w:p>
    <w:p w14:paraId="754AE52E" w14:textId="77777777" w:rsidR="00531796" w:rsidRDefault="00FB328B">
      <w:pPr>
        <w:spacing w:before="74"/>
        <w:ind w:right="14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554710F8" w14:textId="77777777" w:rsidR="00531796" w:rsidRDefault="00FB328B">
      <w:pPr>
        <w:pStyle w:val="a3"/>
        <w:spacing w:before="164" w:line="360" w:lineRule="auto"/>
        <w:ind w:left="2" w:right="137" w:firstLine="707"/>
        <w:jc w:val="both"/>
      </w:pPr>
      <w:r>
        <w:t>Забота о личности, охране ее чести и достоинства, прав и законных интересов стала важнейшим направлением деятельности государства еще на ранних этапах процесса демократизации общественной жизни в СССР</w:t>
      </w:r>
      <w:r>
        <w:rPr>
          <w:vertAlign w:val="superscript"/>
        </w:rPr>
        <w:t>1</w:t>
      </w:r>
      <w:r>
        <w:t>. Данный курс получил признание и в наши дни: сохраняется идея о том, что, защищая личную жизнь граждан, государство не должно вмешиваться в частную жизнь человека, раскрывать его личные тайны, контролировать его поведение и действия вне службы.</w:t>
      </w:r>
    </w:p>
    <w:p w14:paraId="2262CC4B" w14:textId="77777777" w:rsidR="00531796" w:rsidRDefault="00FB328B">
      <w:pPr>
        <w:pStyle w:val="a3"/>
        <w:spacing w:line="360" w:lineRule="auto"/>
        <w:ind w:left="2" w:right="139" w:firstLine="707"/>
        <w:jc w:val="both"/>
      </w:pPr>
      <w:r>
        <w:t>Исходя из современной классификации</w:t>
      </w:r>
      <w:r>
        <w:rPr>
          <w:vertAlign w:val="superscript"/>
        </w:rPr>
        <w:t>2</w:t>
      </w:r>
      <w:r>
        <w:t xml:space="preserve"> прав человека, право на неприкосновенность частной жизни – это естественное право, которое охватывает все личные (гражданские) права и свободы, обеспечивающие охрану и защиту частной жизни и личности и определяющие границы, содержание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структуру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сферы.</w:t>
      </w:r>
      <w:r>
        <w:rPr>
          <w:spacing w:val="40"/>
        </w:rPr>
        <w:t xml:space="preserve"> </w:t>
      </w:r>
      <w:r>
        <w:t>КС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определении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28.06.2012</w:t>
      </w:r>
    </w:p>
    <w:p w14:paraId="434416B0" w14:textId="77777777" w:rsidR="00531796" w:rsidRDefault="00FB328B">
      <w:pPr>
        <w:pStyle w:val="a3"/>
        <w:spacing w:before="1" w:line="360" w:lineRule="auto"/>
        <w:ind w:left="2" w:right="137"/>
        <w:jc w:val="both"/>
      </w:pPr>
      <w:r>
        <w:t>№1253-О предложил следующее понятие права на неприкосновенность частной жизни – это «предоставленная человеку и гарантированная государством возможность контролировать информацию о самом себе, препятствовать</w:t>
      </w:r>
      <w:r>
        <w:rPr>
          <w:spacing w:val="-18"/>
        </w:rPr>
        <w:t xml:space="preserve"> </w:t>
      </w:r>
      <w:r>
        <w:t>разглашению</w:t>
      </w:r>
      <w:r>
        <w:rPr>
          <w:spacing w:val="-12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личного,</w:t>
      </w:r>
      <w:r>
        <w:rPr>
          <w:spacing w:val="-11"/>
        </w:rPr>
        <w:t xml:space="preserve"> </w:t>
      </w:r>
      <w:r>
        <w:t>интимного</w:t>
      </w:r>
      <w:r>
        <w:rPr>
          <w:spacing w:val="-12"/>
        </w:rPr>
        <w:t xml:space="preserve"> </w:t>
      </w:r>
      <w:r>
        <w:t>характера».</w:t>
      </w:r>
      <w:r>
        <w:rPr>
          <w:spacing w:val="-18"/>
        </w:rPr>
        <w:t xml:space="preserve"> </w:t>
      </w:r>
      <w:r>
        <w:t>Стоит отметить, что государство гарантирует запрет любых форм несанкционированного</w:t>
      </w:r>
      <w:r>
        <w:rPr>
          <w:spacing w:val="-10"/>
        </w:rPr>
        <w:t xml:space="preserve"> </w:t>
      </w:r>
      <w:r>
        <w:t>вмешательства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частную</w:t>
      </w:r>
      <w:r>
        <w:rPr>
          <w:spacing w:val="-13"/>
        </w:rPr>
        <w:t xml:space="preserve"> </w:t>
      </w:r>
      <w:r>
        <w:t>жизнь</w:t>
      </w:r>
      <w:r>
        <w:rPr>
          <w:spacing w:val="-14"/>
        </w:rPr>
        <w:t xml:space="preserve"> </w:t>
      </w:r>
      <w:r>
        <w:t>и,</w:t>
      </w:r>
      <w:r>
        <w:rPr>
          <w:spacing w:val="-13"/>
        </w:rPr>
        <w:t xml:space="preserve"> </w:t>
      </w:r>
      <w:r>
        <w:t>исключая</w:t>
      </w:r>
      <w:r>
        <w:rPr>
          <w:spacing w:val="-14"/>
        </w:rPr>
        <w:t xml:space="preserve"> </w:t>
      </w:r>
      <w:r>
        <w:t>произвол в отношении граждан, обеспечивает правовую защиту личности не только со своей</w:t>
      </w:r>
      <w:r>
        <w:rPr>
          <w:spacing w:val="-16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лице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органов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третьих лиц. Однако действующее уголовно-процессуальное законодательство допускает возможность проведения следственных действий, связанных с ограничением права на неприкосновенность частной жизни (обысков, наложения ареста на корреспонденцию, ее осмотра и выемки, освидетельствования и пр.), но только на основании судебного решения</w:t>
      </w:r>
      <w:r>
        <w:rPr>
          <w:spacing w:val="29"/>
        </w:rPr>
        <w:t xml:space="preserve"> </w:t>
      </w:r>
      <w:r>
        <w:t>или</w:t>
      </w:r>
    </w:p>
    <w:p w14:paraId="262735AE" w14:textId="77777777" w:rsidR="00531796" w:rsidRDefault="00531796">
      <w:pPr>
        <w:pStyle w:val="a3"/>
        <w:rPr>
          <w:sz w:val="20"/>
        </w:rPr>
      </w:pPr>
    </w:p>
    <w:p w14:paraId="49432296" w14:textId="77777777" w:rsidR="00531796" w:rsidRDefault="00531796">
      <w:pPr>
        <w:pStyle w:val="a3"/>
        <w:rPr>
          <w:sz w:val="20"/>
        </w:rPr>
      </w:pPr>
    </w:p>
    <w:p w14:paraId="2F92AE2F" w14:textId="77777777" w:rsidR="00531796" w:rsidRDefault="00531796">
      <w:pPr>
        <w:pStyle w:val="a3"/>
        <w:rPr>
          <w:sz w:val="20"/>
        </w:rPr>
      </w:pPr>
    </w:p>
    <w:p w14:paraId="293104D0" w14:textId="77777777" w:rsidR="00531796" w:rsidRDefault="00FB328B">
      <w:pPr>
        <w:pStyle w:val="a3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E39C81" wp14:editId="6EF7B815">
                <wp:simplePos x="0" y="0"/>
                <wp:positionH relativeFrom="page">
                  <wp:posOffset>1080820</wp:posOffset>
                </wp:positionH>
                <wp:positionV relativeFrom="paragraph">
                  <wp:posOffset>257246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1C887" id="Graphic 2" o:spid="_x0000_s1026" style="position:absolute;margin-left:85.1pt;margin-top:20.2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tCPndO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925AD4" w14:textId="77777777" w:rsidR="00531796" w:rsidRDefault="00FB328B">
      <w:pPr>
        <w:spacing w:before="101"/>
        <w:ind w:left="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См.:</w:t>
      </w:r>
      <w:r>
        <w:rPr>
          <w:spacing w:val="-6"/>
          <w:sz w:val="20"/>
        </w:rPr>
        <w:t xml:space="preserve"> </w:t>
      </w:r>
      <w:r>
        <w:rPr>
          <w:sz w:val="20"/>
        </w:rPr>
        <w:t>Петрухин</w:t>
      </w:r>
      <w:r>
        <w:rPr>
          <w:spacing w:val="-7"/>
          <w:sz w:val="20"/>
        </w:rPr>
        <w:t xml:space="preserve"> </w:t>
      </w:r>
      <w:r>
        <w:rPr>
          <w:sz w:val="20"/>
        </w:rPr>
        <w:t>И.Л.</w:t>
      </w:r>
      <w:r>
        <w:rPr>
          <w:spacing w:val="-4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жизнь:</w:t>
      </w:r>
      <w:r>
        <w:rPr>
          <w:spacing w:val="-6"/>
          <w:sz w:val="20"/>
        </w:rPr>
        <w:t xml:space="preserve"> </w:t>
      </w:r>
      <w:r>
        <w:rPr>
          <w:sz w:val="20"/>
        </w:rPr>
        <w:t>пределы</w:t>
      </w:r>
      <w:r>
        <w:rPr>
          <w:spacing w:val="-6"/>
          <w:sz w:val="20"/>
        </w:rPr>
        <w:t xml:space="preserve"> </w:t>
      </w:r>
      <w:r>
        <w:rPr>
          <w:sz w:val="20"/>
        </w:rPr>
        <w:t>вмешательства.</w:t>
      </w:r>
      <w:r>
        <w:rPr>
          <w:spacing w:val="-6"/>
          <w:sz w:val="20"/>
        </w:rPr>
        <w:t xml:space="preserve"> </w:t>
      </w:r>
      <w:r>
        <w:rPr>
          <w:sz w:val="20"/>
        </w:rPr>
        <w:t>М.:</w:t>
      </w:r>
      <w:r>
        <w:rPr>
          <w:spacing w:val="-6"/>
          <w:sz w:val="20"/>
        </w:rPr>
        <w:t xml:space="preserve"> </w:t>
      </w:r>
      <w:r>
        <w:rPr>
          <w:sz w:val="20"/>
        </w:rPr>
        <w:t>Юрид</w:t>
      </w:r>
      <w:proofErr w:type="gramStart"/>
      <w:r>
        <w:rPr>
          <w:sz w:val="20"/>
        </w:rPr>
        <w:t>.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лит.,</w:t>
      </w:r>
      <w:r>
        <w:rPr>
          <w:spacing w:val="-6"/>
          <w:sz w:val="20"/>
        </w:rPr>
        <w:t xml:space="preserve"> </w:t>
      </w:r>
      <w:r>
        <w:rPr>
          <w:sz w:val="20"/>
        </w:rPr>
        <w:t>1989.</w:t>
      </w:r>
      <w:r>
        <w:rPr>
          <w:spacing w:val="-6"/>
          <w:sz w:val="20"/>
        </w:rPr>
        <w:t xml:space="preserve"> </w:t>
      </w:r>
      <w:r>
        <w:rPr>
          <w:sz w:val="20"/>
        </w:rPr>
        <w:t>С.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3.</w:t>
      </w:r>
    </w:p>
    <w:p w14:paraId="01B36ADC" w14:textId="77777777" w:rsidR="00531796" w:rsidRDefault="00FB328B">
      <w:pPr>
        <w:ind w:left="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См.,</w:t>
      </w:r>
      <w:r>
        <w:rPr>
          <w:spacing w:val="36"/>
          <w:sz w:val="20"/>
        </w:rPr>
        <w:t xml:space="preserve"> </w:t>
      </w:r>
      <w:r>
        <w:rPr>
          <w:sz w:val="20"/>
        </w:rPr>
        <w:t>например: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Авакьян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С.А.</w:t>
      </w:r>
      <w:r>
        <w:rPr>
          <w:spacing w:val="36"/>
          <w:sz w:val="20"/>
        </w:rPr>
        <w:t xml:space="preserve"> </w:t>
      </w:r>
      <w:r>
        <w:rPr>
          <w:sz w:val="20"/>
        </w:rPr>
        <w:t>Конституционное</w:t>
      </w:r>
      <w:r>
        <w:rPr>
          <w:spacing w:val="36"/>
          <w:sz w:val="20"/>
        </w:rPr>
        <w:t xml:space="preserve"> </w:t>
      </w:r>
      <w:r>
        <w:rPr>
          <w:sz w:val="20"/>
        </w:rPr>
        <w:t>право</w:t>
      </w:r>
      <w:r>
        <w:rPr>
          <w:spacing w:val="39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36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37"/>
          <w:sz w:val="20"/>
        </w:rPr>
        <w:t xml:space="preserve"> </w:t>
      </w:r>
      <w:r>
        <w:rPr>
          <w:sz w:val="20"/>
        </w:rPr>
        <w:t>курс:</w:t>
      </w:r>
      <w:r>
        <w:rPr>
          <w:spacing w:val="35"/>
          <w:sz w:val="20"/>
        </w:rPr>
        <w:t xml:space="preserve"> </w:t>
      </w:r>
      <w:r>
        <w:rPr>
          <w:sz w:val="20"/>
        </w:rPr>
        <w:t>учебное</w:t>
      </w:r>
      <w:r>
        <w:rPr>
          <w:spacing w:val="36"/>
          <w:sz w:val="20"/>
        </w:rPr>
        <w:t xml:space="preserve"> </w:t>
      </w:r>
      <w:r>
        <w:rPr>
          <w:sz w:val="20"/>
        </w:rPr>
        <w:t>пособие: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т.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/ С.А. </w:t>
      </w:r>
      <w:proofErr w:type="spellStart"/>
      <w:r>
        <w:rPr>
          <w:sz w:val="20"/>
        </w:rPr>
        <w:t>Авакьян</w:t>
      </w:r>
      <w:proofErr w:type="spellEnd"/>
      <w:r>
        <w:rPr>
          <w:sz w:val="20"/>
        </w:rPr>
        <w:t xml:space="preserve">. — 6-е изд., </w:t>
      </w:r>
      <w:proofErr w:type="spellStart"/>
      <w:r>
        <w:rPr>
          <w:sz w:val="20"/>
        </w:rPr>
        <w:t>перераб</w:t>
      </w:r>
      <w:proofErr w:type="spellEnd"/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и доп. — М.: Норма: ИНФРА-М, 2019. С. 661-662.</w:t>
      </w:r>
    </w:p>
    <w:p w14:paraId="5B17265A" w14:textId="77777777" w:rsidR="00531796" w:rsidRDefault="00531796">
      <w:pPr>
        <w:rPr>
          <w:sz w:val="20"/>
        </w:rPr>
        <w:sectPr w:rsidR="00531796">
          <w:pgSz w:w="11910" w:h="16840"/>
          <w:pgMar w:top="1040" w:right="708" w:bottom="1160" w:left="1700" w:header="0" w:footer="964" w:gutter="0"/>
          <w:cols w:space="720"/>
        </w:sectPr>
      </w:pPr>
    </w:p>
    <w:p w14:paraId="22273FE3" w14:textId="77777777" w:rsidR="00531796" w:rsidRDefault="00FB328B">
      <w:pPr>
        <w:pStyle w:val="a3"/>
        <w:spacing w:before="74" w:line="360" w:lineRule="auto"/>
        <w:ind w:left="2" w:right="141"/>
        <w:jc w:val="both"/>
      </w:pPr>
      <w:r>
        <w:lastRenderedPageBreak/>
        <w:t>постановления</w:t>
      </w:r>
      <w:r>
        <w:rPr>
          <w:spacing w:val="-12"/>
        </w:rPr>
        <w:t xml:space="preserve"> </w:t>
      </w:r>
      <w:r>
        <w:t>следователя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дознавателя</w:t>
      </w:r>
      <w:r>
        <w:rPr>
          <w:vertAlign w:val="superscript"/>
        </w:rPr>
        <w:t>3</w:t>
      </w:r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лица по подозрению в совершении преступления задержания, мер пресечения</w:t>
      </w:r>
      <w:r>
        <w:rPr>
          <w:spacing w:val="40"/>
        </w:rPr>
        <w:t xml:space="preserve"> </w:t>
      </w:r>
      <w:r>
        <w:t>и иных мер процессуального принуждения возможно только при наличии достаточных оснований, предусмотренных УПК РФ.</w:t>
      </w:r>
    </w:p>
    <w:p w14:paraId="56CAB53D" w14:textId="77777777" w:rsidR="00531796" w:rsidRDefault="00FB328B">
      <w:pPr>
        <w:pStyle w:val="a3"/>
        <w:spacing w:before="1" w:line="360" w:lineRule="auto"/>
        <w:ind w:left="2" w:right="139" w:firstLine="707"/>
        <w:jc w:val="both"/>
      </w:pPr>
      <w:r>
        <w:t>Тем, в какой мере гарантирована неприкосновенность тайн частной жизни, как глубоко и на каких основаниях государство может проникать в содержание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тайн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расследовании</w:t>
      </w:r>
      <w:r>
        <w:rPr>
          <w:spacing w:val="-1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какими правами должны пользоваться подозреваемые и обвиняемые для защиты своих законных интересов при применении мер принуждения и в каком направлении надо совершенствовать гарантии прав личности в уголовном процессе,</w:t>
      </w:r>
      <w:r>
        <w:rPr>
          <w:spacing w:val="-18"/>
        </w:rPr>
        <w:t xml:space="preserve"> </w:t>
      </w:r>
      <w:r>
        <w:t>определяется</w:t>
      </w:r>
      <w:r>
        <w:rPr>
          <w:spacing w:val="-17"/>
        </w:rPr>
        <w:t xml:space="preserve"> </w:t>
      </w:r>
      <w:r>
        <w:t>степень</w:t>
      </w:r>
      <w:r>
        <w:rPr>
          <w:spacing w:val="-18"/>
        </w:rPr>
        <w:t xml:space="preserve"> </w:t>
      </w:r>
      <w:r>
        <w:t>свободы</w:t>
      </w:r>
      <w:r>
        <w:rPr>
          <w:spacing w:val="-17"/>
        </w:rPr>
        <w:t xml:space="preserve"> </w:t>
      </w:r>
      <w:r>
        <w:t>личности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государстве,</w:t>
      </w:r>
      <w:r>
        <w:rPr>
          <w:spacing w:val="-18"/>
        </w:rPr>
        <w:t xml:space="preserve"> </w:t>
      </w:r>
      <w:r>
        <w:t>демократизм и</w:t>
      </w:r>
      <w:r>
        <w:rPr>
          <w:spacing w:val="-8"/>
        </w:rPr>
        <w:t xml:space="preserve"> </w:t>
      </w:r>
      <w:r>
        <w:t>гуманность</w:t>
      </w:r>
      <w:r>
        <w:rPr>
          <w:spacing w:val="-10"/>
        </w:rPr>
        <w:t xml:space="preserve"> </w:t>
      </w:r>
      <w:r>
        <w:t>политического</w:t>
      </w:r>
      <w:r>
        <w:rPr>
          <w:spacing w:val="-8"/>
        </w:rPr>
        <w:t xml:space="preserve"> </w:t>
      </w:r>
      <w:r>
        <w:t>режима.</w:t>
      </w:r>
      <w:r>
        <w:rPr>
          <w:spacing w:val="-4"/>
        </w:rPr>
        <w:t xml:space="preserve"> </w:t>
      </w:r>
      <w:r>
        <w:t>Исследованию</w:t>
      </w:r>
      <w:r>
        <w:rPr>
          <w:spacing w:val="-9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других проблем и посвящена данная работа.</w:t>
      </w:r>
    </w:p>
    <w:p w14:paraId="3997D3D4" w14:textId="77777777" w:rsidR="00531796" w:rsidRDefault="00FB328B">
      <w:pPr>
        <w:pStyle w:val="a3"/>
        <w:spacing w:before="3" w:line="360" w:lineRule="auto"/>
        <w:ind w:left="2" w:right="137" w:firstLine="707"/>
        <w:jc w:val="both"/>
      </w:pPr>
      <w:r>
        <w:rPr>
          <w:i/>
        </w:rPr>
        <w:t>Цель</w:t>
      </w:r>
      <w:r>
        <w:rPr>
          <w:i/>
          <w:spacing w:val="-2"/>
        </w:rPr>
        <w:t xml:space="preserve"> </w:t>
      </w:r>
      <w:r>
        <w:rPr>
          <w:i/>
        </w:rPr>
        <w:t xml:space="preserve">исследования </w:t>
      </w:r>
      <w:r>
        <w:t>– сформировать</w:t>
      </w:r>
      <w:r>
        <w:rPr>
          <w:spacing w:val="-1"/>
        </w:rPr>
        <w:t xml:space="preserve"> </w:t>
      </w:r>
      <w:r>
        <w:t>целостное представление о праве</w:t>
      </w:r>
      <w:r>
        <w:rPr>
          <w:spacing w:val="-2"/>
        </w:rPr>
        <w:t xml:space="preserve"> </w:t>
      </w:r>
      <w:r>
        <w:t>на физическую, психическую и нравственную неприкосновенность личности, в частности ее индивидуальную свободу и личную безопасность, и праве на неприкосновенность частной жизни за счет сравнительного анализа современного отечественного регулирования сферы частной жизни в уголовном процессе с историко-правовым развитием данных прав, а также выработать комплексное понимание о правомерных ограничениях тайны личной жизни, теоретически обосновать их пределы при осуществлении отдельных следственных действий и применении мер процессуального принуждения при расследовании уголовного дела и предложить рекомендации по совершенствованию практики их реализации.</w:t>
      </w:r>
    </w:p>
    <w:p w14:paraId="10A650B9" w14:textId="77777777" w:rsidR="00531796" w:rsidRDefault="00FB328B">
      <w:pPr>
        <w:pStyle w:val="a3"/>
        <w:spacing w:line="360" w:lineRule="auto"/>
        <w:ind w:left="2" w:right="138" w:firstLine="707"/>
        <w:jc w:val="both"/>
      </w:pPr>
      <w:r>
        <w:t>Несмотря на то, что проблеме вмешательства в частную жизнь и неприкосновенности личности посвящено множество трудов известных ученых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уголовного</w:t>
      </w:r>
      <w:r>
        <w:rPr>
          <w:spacing w:val="45"/>
        </w:rPr>
        <w:t xml:space="preserve"> </w:t>
      </w:r>
      <w:r>
        <w:t>процесса,</w:t>
      </w:r>
      <w:r>
        <w:rPr>
          <w:spacing w:val="45"/>
        </w:rPr>
        <w:t xml:space="preserve"> </w:t>
      </w:r>
      <w:r>
        <w:t>таких</w:t>
      </w:r>
      <w:r>
        <w:rPr>
          <w:spacing w:val="46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Васильева</w:t>
      </w:r>
      <w:r>
        <w:rPr>
          <w:spacing w:val="45"/>
        </w:rPr>
        <w:t xml:space="preserve"> </w:t>
      </w:r>
      <w:r>
        <w:t>Е.Г.,</w:t>
      </w:r>
      <w:r>
        <w:rPr>
          <w:spacing w:val="46"/>
        </w:rPr>
        <w:t xml:space="preserve"> </w:t>
      </w:r>
      <w:r>
        <w:rPr>
          <w:spacing w:val="-2"/>
        </w:rPr>
        <w:t>Власова</w:t>
      </w:r>
    </w:p>
    <w:p w14:paraId="5773817A" w14:textId="77777777" w:rsidR="00531796" w:rsidRDefault="00531796">
      <w:pPr>
        <w:pStyle w:val="a3"/>
        <w:rPr>
          <w:sz w:val="20"/>
        </w:rPr>
      </w:pPr>
    </w:p>
    <w:p w14:paraId="053B0EF9" w14:textId="77777777" w:rsidR="00531796" w:rsidRDefault="00FB328B">
      <w:pPr>
        <w:pStyle w:val="a3"/>
        <w:spacing w:before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5DF8D0" wp14:editId="201F0EB8">
                <wp:simplePos x="0" y="0"/>
                <wp:positionH relativeFrom="page">
                  <wp:posOffset>1080820</wp:posOffset>
                </wp:positionH>
                <wp:positionV relativeFrom="paragraph">
                  <wp:posOffset>242651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2C68B" id="Graphic 3" o:spid="_x0000_s1026" style="position:absolute;margin-left:85.1pt;margin-top:19.1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BA1E47" w14:textId="77777777" w:rsidR="00531796" w:rsidRDefault="00FB328B">
      <w:pPr>
        <w:spacing w:before="101"/>
        <w:ind w:left="2" w:right="141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подробнее: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Пленума</w:t>
      </w:r>
      <w:r>
        <w:rPr>
          <w:spacing w:val="-3"/>
          <w:sz w:val="20"/>
        </w:rPr>
        <w:t xml:space="preserve"> </w:t>
      </w:r>
      <w:r>
        <w:rPr>
          <w:sz w:val="20"/>
        </w:rPr>
        <w:t>Верховного Суда</w:t>
      </w:r>
      <w:r>
        <w:rPr>
          <w:spacing w:val="-4"/>
          <w:sz w:val="20"/>
        </w:rPr>
        <w:t xml:space="preserve"> </w:t>
      </w:r>
      <w:r>
        <w:rPr>
          <w:sz w:val="20"/>
        </w:rPr>
        <w:t>РФ от</w:t>
      </w:r>
      <w:r>
        <w:rPr>
          <w:spacing w:val="-4"/>
          <w:sz w:val="20"/>
        </w:rPr>
        <w:t xml:space="preserve"> </w:t>
      </w:r>
      <w:r>
        <w:rPr>
          <w:sz w:val="20"/>
        </w:rPr>
        <w:t>01.06.2017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практике рассмотрения судами</w:t>
      </w:r>
      <w:r>
        <w:rPr>
          <w:spacing w:val="-13"/>
          <w:sz w:val="20"/>
        </w:rPr>
        <w:t xml:space="preserve"> </w:t>
      </w:r>
      <w:r>
        <w:rPr>
          <w:sz w:val="20"/>
        </w:rPr>
        <w:t>ходатайств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производстве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12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ограничением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прав граждан (статья 165 УПК РФ)" // СПС КонсультантПлюс.</w:t>
      </w:r>
    </w:p>
    <w:p w14:paraId="10287000" w14:textId="77777777" w:rsidR="00531796" w:rsidRDefault="00531796">
      <w:pPr>
        <w:jc w:val="both"/>
        <w:rPr>
          <w:sz w:val="20"/>
        </w:rPr>
        <w:sectPr w:rsidR="00531796">
          <w:pgSz w:w="11910" w:h="16840"/>
          <w:pgMar w:top="1040" w:right="708" w:bottom="1160" w:left="1700" w:header="0" w:footer="964" w:gutter="0"/>
          <w:cols w:space="720"/>
        </w:sectPr>
      </w:pPr>
    </w:p>
    <w:p w14:paraId="7A5D5A2E" w14:textId="77777777" w:rsidR="00531796" w:rsidRDefault="00FB328B">
      <w:pPr>
        <w:pStyle w:val="a3"/>
        <w:spacing w:before="74" w:line="360" w:lineRule="auto"/>
        <w:ind w:left="2" w:right="139"/>
        <w:jc w:val="both"/>
      </w:pPr>
      <w:r>
        <w:lastRenderedPageBreak/>
        <w:t>Н.А.,</w:t>
      </w:r>
      <w:r>
        <w:rPr>
          <w:spacing w:val="-16"/>
        </w:rPr>
        <w:t xml:space="preserve"> </w:t>
      </w:r>
      <w:proofErr w:type="spellStart"/>
      <w:r>
        <w:t>Иванский</w:t>
      </w:r>
      <w:proofErr w:type="spellEnd"/>
      <w:r>
        <w:rPr>
          <w:spacing w:val="-13"/>
        </w:rPr>
        <w:t xml:space="preserve"> </w:t>
      </w:r>
      <w:r>
        <w:t>В.П.,</w:t>
      </w:r>
      <w:r>
        <w:rPr>
          <w:spacing w:val="-13"/>
        </w:rPr>
        <w:t xml:space="preserve"> </w:t>
      </w:r>
      <w:r>
        <w:t>Коврига</w:t>
      </w:r>
      <w:r>
        <w:rPr>
          <w:spacing w:val="-16"/>
        </w:rPr>
        <w:t xml:space="preserve"> </w:t>
      </w:r>
      <w:r>
        <w:t>З.Ф.,</w:t>
      </w:r>
      <w:r>
        <w:rPr>
          <w:spacing w:val="-14"/>
        </w:rPr>
        <w:t xml:space="preserve"> </w:t>
      </w:r>
      <w:proofErr w:type="spellStart"/>
      <w:r>
        <w:t>Патюлин</w:t>
      </w:r>
      <w:proofErr w:type="spellEnd"/>
      <w:r>
        <w:rPr>
          <w:spacing w:val="-13"/>
        </w:rPr>
        <w:t xml:space="preserve"> </w:t>
      </w:r>
      <w:r>
        <w:t>В.А.,</w:t>
      </w:r>
      <w:r>
        <w:rPr>
          <w:spacing w:val="-15"/>
        </w:rPr>
        <w:t xml:space="preserve"> </w:t>
      </w:r>
      <w:r>
        <w:t>Петрухин</w:t>
      </w:r>
      <w:r>
        <w:rPr>
          <w:spacing w:val="-13"/>
        </w:rPr>
        <w:t xml:space="preserve"> </w:t>
      </w:r>
      <w:r>
        <w:t>И.Л.,</w:t>
      </w:r>
      <w:r>
        <w:rPr>
          <w:spacing w:val="-12"/>
        </w:rPr>
        <w:t xml:space="preserve"> </w:t>
      </w:r>
      <w:r>
        <w:t xml:space="preserve">Тимошенко А.А., </w:t>
      </w:r>
      <w:proofErr w:type="spellStart"/>
      <w:r>
        <w:t>Фойницкий</w:t>
      </w:r>
      <w:proofErr w:type="spellEnd"/>
      <w:r>
        <w:t xml:space="preserve"> И.Я. и др., вопрос о допустимости и пределах ограничения тайны</w:t>
      </w:r>
      <w:r>
        <w:rPr>
          <w:spacing w:val="-9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уголовном</w:t>
      </w:r>
      <w:r>
        <w:rPr>
          <w:spacing w:val="-12"/>
        </w:rPr>
        <w:t xml:space="preserve"> </w:t>
      </w:r>
      <w:r>
        <w:t>судопроизводстве</w:t>
      </w:r>
      <w:r>
        <w:rPr>
          <w:spacing w:val="-13"/>
        </w:rPr>
        <w:t xml:space="preserve"> </w:t>
      </w:r>
      <w:r>
        <w:t>остается</w:t>
      </w:r>
      <w:r>
        <w:rPr>
          <w:spacing w:val="-9"/>
        </w:rPr>
        <w:t xml:space="preserve"> </w:t>
      </w:r>
      <w:r>
        <w:t>открытым</w:t>
      </w:r>
      <w:r>
        <w:rPr>
          <w:spacing w:val="-10"/>
        </w:rPr>
        <w:t xml:space="preserve"> </w:t>
      </w:r>
      <w:r>
        <w:t>ввиду развития правоприменительной практики, которая не может не учитывать современных условий развития правомерных ограничений неприкосновенности частной жизни и личности, в которых цели и задачи уголовного процесса являются установкой для государственных органов и должностных лиц, направляющей их действия.</w:t>
      </w:r>
    </w:p>
    <w:p w14:paraId="6A59A107" w14:textId="77777777" w:rsidR="00531796" w:rsidRDefault="00FB328B">
      <w:pPr>
        <w:pStyle w:val="a3"/>
        <w:spacing w:before="2" w:line="360" w:lineRule="auto"/>
        <w:ind w:left="2" w:right="137" w:firstLine="707"/>
        <w:jc w:val="both"/>
      </w:pPr>
      <w:r>
        <w:t>С правом на неприкосновенность частной жизни, личную и семейную тайну тесно связана более широкая правовая конструкция личной неприкосновенности, складывающаяся из сохраняемых лицом, лишенным свободы при задержании или заключении под стражу, правомочий</w:t>
      </w:r>
      <w:r>
        <w:rPr>
          <w:vertAlign w:val="superscript"/>
        </w:rPr>
        <w:t>4</w:t>
      </w:r>
      <w:r>
        <w:t>. Одинаковая правовая природа этих прав как естественных и неотъемлемых прав человека в уголовном процессе свидетельствует о комплексном их характере и требует их общего изучения в рамках данной работы.</w:t>
      </w:r>
    </w:p>
    <w:p w14:paraId="0B836F60" w14:textId="77777777" w:rsidR="00531796" w:rsidRDefault="00FB328B">
      <w:pPr>
        <w:pStyle w:val="a3"/>
        <w:spacing w:before="1" w:line="360" w:lineRule="auto"/>
        <w:ind w:left="2" w:right="138" w:firstLine="707"/>
        <w:jc w:val="both"/>
      </w:pPr>
      <w:r>
        <w:t>Право на неприкосновенность частной жизни и личности, как и любые иные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ограничены УПК РФ. В связи с этим чрезвычайно важно, чтобы предусмотренные</w:t>
      </w:r>
      <w:r>
        <w:rPr>
          <w:spacing w:val="-18"/>
        </w:rPr>
        <w:t xml:space="preserve"> </w:t>
      </w:r>
      <w:r>
        <w:t>УПК</w:t>
      </w:r>
      <w:r>
        <w:rPr>
          <w:spacing w:val="-17"/>
        </w:rPr>
        <w:t xml:space="preserve"> </w:t>
      </w:r>
      <w:r>
        <w:t>РФ</w:t>
      </w:r>
      <w:r>
        <w:rPr>
          <w:spacing w:val="-18"/>
        </w:rPr>
        <w:t xml:space="preserve"> </w:t>
      </w:r>
      <w:r>
        <w:t>ограничения</w:t>
      </w:r>
      <w:r>
        <w:rPr>
          <w:spacing w:val="-17"/>
        </w:rPr>
        <w:t xml:space="preserve"> </w:t>
      </w:r>
      <w:r>
        <w:t>права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неприкосновенность</w:t>
      </w:r>
      <w:r>
        <w:rPr>
          <w:spacing w:val="-18"/>
        </w:rPr>
        <w:t xml:space="preserve"> </w:t>
      </w:r>
      <w:r>
        <w:t xml:space="preserve">частной жизни и личности, были бы допустимы с точки зрения Конституции РФ, и чтобы в УПК РФ были предусмотрены допустимые пределы подобного </w:t>
      </w:r>
      <w:r>
        <w:rPr>
          <w:spacing w:val="-2"/>
        </w:rPr>
        <w:t>ограничения.</w:t>
      </w:r>
    </w:p>
    <w:p w14:paraId="4C546395" w14:textId="09666B56" w:rsidR="00A66FEF" w:rsidRDefault="00FB328B" w:rsidP="00A66FEF">
      <w:pPr>
        <w:pStyle w:val="a3"/>
        <w:spacing w:before="1" w:line="360" w:lineRule="auto"/>
        <w:ind w:left="2" w:right="139" w:firstLine="707"/>
        <w:jc w:val="both"/>
      </w:pPr>
      <w:r>
        <w:t>Особенно важно соблюдать правила пределов ограничения права на неприкосновенность</w:t>
      </w:r>
      <w:r>
        <w:rPr>
          <w:spacing w:val="-8"/>
        </w:rPr>
        <w:t xml:space="preserve"> </w:t>
      </w:r>
      <w:r>
        <w:t>частной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досудебном</w:t>
      </w:r>
      <w:r>
        <w:rPr>
          <w:spacing w:val="-7"/>
        </w:rPr>
        <w:t xml:space="preserve"> </w:t>
      </w:r>
      <w:r>
        <w:t>производстве,</w:t>
      </w:r>
      <w:r>
        <w:rPr>
          <w:spacing w:val="-9"/>
        </w:rPr>
        <w:t xml:space="preserve"> </w:t>
      </w:r>
      <w:r>
        <w:t>в ходе расследования уголовного дела в условиях ограниченности гласности, состязательности,</w:t>
      </w:r>
      <w:r>
        <w:rPr>
          <w:spacing w:val="-8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т.д. Указанные обстоятельства обусловили актуальность выбранной темы </w:t>
      </w:r>
      <w:r>
        <w:rPr>
          <w:spacing w:val="-2"/>
        </w:rPr>
        <w:t>исследования.</w:t>
      </w:r>
    </w:p>
    <w:p w14:paraId="0D29D52B" w14:textId="3B58FE28" w:rsidR="00531796" w:rsidRDefault="00531796">
      <w:pPr>
        <w:pStyle w:val="a3"/>
        <w:tabs>
          <w:tab w:val="left" w:pos="1589"/>
          <w:tab w:val="left" w:pos="3543"/>
          <w:tab w:val="left" w:pos="4608"/>
          <w:tab w:val="left" w:pos="6260"/>
          <w:tab w:val="left" w:pos="7672"/>
          <w:tab w:val="left" w:pos="8150"/>
        </w:tabs>
        <w:spacing w:before="164" w:line="360" w:lineRule="auto"/>
        <w:ind w:left="2" w:right="148"/>
      </w:pPr>
    </w:p>
    <w:sectPr w:rsidR="00531796">
      <w:footerReference w:type="default" r:id="rId8"/>
      <w:pgSz w:w="11910" w:h="16840"/>
      <w:pgMar w:top="1040" w:right="708" w:bottom="1200" w:left="1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3A11" w14:textId="77777777" w:rsidR="000A3963" w:rsidRDefault="000A3963">
      <w:r>
        <w:separator/>
      </w:r>
    </w:p>
  </w:endnote>
  <w:endnote w:type="continuationSeparator" w:id="0">
    <w:p w14:paraId="1C009433" w14:textId="77777777" w:rsidR="000A3963" w:rsidRDefault="000A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49C6" w14:textId="77777777" w:rsidR="00531796" w:rsidRDefault="00FB328B">
    <w:pPr>
      <w:pStyle w:val="a3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119872" behindDoc="1" locked="0" layoutInCell="1" allowOverlap="1" wp14:anchorId="2D065216" wp14:editId="6687E0C5">
              <wp:simplePos x="0" y="0"/>
              <wp:positionH relativeFrom="page">
                <wp:posOffset>6866381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D75A02" w14:textId="77777777" w:rsidR="00531796" w:rsidRDefault="00FB328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652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65pt;margin-top:780.9pt;width:16.3pt;height:13.05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EEuiWTiAAAADwEAAA8AAAAAAAAAAAAAAAAA/wMAAGRycy9kb3ducmV2LnhtbFBL&#10;BQYAAAAABAAEAPMAAAAOBQAAAAA=&#10;" filled="f" stroked="f">
              <v:textbox inset="0,0,0,0">
                <w:txbxContent>
                  <w:p w14:paraId="1BD75A02" w14:textId="77777777" w:rsidR="00531796" w:rsidRDefault="00FB328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45CD" w14:textId="77777777" w:rsidR="00531796" w:rsidRDefault="00FB328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0384" behindDoc="1" locked="0" layoutInCell="1" allowOverlap="1" wp14:anchorId="05C6CA0D" wp14:editId="3641F817">
              <wp:simplePos x="0" y="0"/>
              <wp:positionH relativeFrom="page">
                <wp:posOffset>6840981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0E100" w14:textId="77777777" w:rsidR="00531796" w:rsidRDefault="00FB32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6CA0D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538.65pt;margin-top:780.9pt;width:18.3pt;height:13.05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" filled="f" stroked="f">
              <v:textbox inset="0,0,0,0">
                <w:txbxContent>
                  <w:p w14:paraId="5CD0E100" w14:textId="77777777" w:rsidR="00531796" w:rsidRDefault="00FB328B">
                    <w:pPr>
                      <w:spacing w:line="245" w:lineRule="exact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DF78" w14:textId="77777777" w:rsidR="000A3963" w:rsidRDefault="000A3963">
      <w:r>
        <w:separator/>
      </w:r>
    </w:p>
  </w:footnote>
  <w:footnote w:type="continuationSeparator" w:id="0">
    <w:p w14:paraId="7AC54E73" w14:textId="77777777" w:rsidR="000A3963" w:rsidRDefault="000A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B5A"/>
    <w:multiLevelType w:val="multilevel"/>
    <w:tmpl w:val="66E25CC0"/>
    <w:lvl w:ilvl="0">
      <w:start w:val="1"/>
      <w:numFmt w:val="decimal"/>
      <w:lvlText w:val="%1"/>
      <w:lvlJc w:val="left"/>
      <w:pPr>
        <w:ind w:left="2" w:hanging="11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11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11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9" w:hanging="1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1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131"/>
      </w:pPr>
      <w:rPr>
        <w:rFonts w:hint="default"/>
        <w:lang w:val="ru-RU" w:eastAsia="en-US" w:bidi="ar-SA"/>
      </w:rPr>
    </w:lvl>
  </w:abstractNum>
  <w:abstractNum w:abstractNumId="1" w15:restartNumberingAfterBreak="0">
    <w:nsid w:val="03627BDB"/>
    <w:multiLevelType w:val="hybridMultilevel"/>
    <w:tmpl w:val="942CE244"/>
    <w:lvl w:ilvl="0" w:tplc="D0C6B8E8">
      <w:start w:val="1"/>
      <w:numFmt w:val="decimal"/>
      <w:lvlText w:val="%1."/>
      <w:lvlJc w:val="left"/>
      <w:pPr>
        <w:ind w:left="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680790">
      <w:numFmt w:val="bullet"/>
      <w:lvlText w:val="•"/>
      <w:lvlJc w:val="left"/>
      <w:pPr>
        <w:ind w:left="949" w:hanging="439"/>
      </w:pPr>
      <w:rPr>
        <w:rFonts w:hint="default"/>
        <w:lang w:val="ru-RU" w:eastAsia="en-US" w:bidi="ar-SA"/>
      </w:rPr>
    </w:lvl>
    <w:lvl w:ilvl="2" w:tplc="62A61A48">
      <w:numFmt w:val="bullet"/>
      <w:lvlText w:val="•"/>
      <w:lvlJc w:val="left"/>
      <w:pPr>
        <w:ind w:left="1899" w:hanging="439"/>
      </w:pPr>
      <w:rPr>
        <w:rFonts w:hint="default"/>
        <w:lang w:val="ru-RU" w:eastAsia="en-US" w:bidi="ar-SA"/>
      </w:rPr>
    </w:lvl>
    <w:lvl w:ilvl="3" w:tplc="86F87E12">
      <w:numFmt w:val="bullet"/>
      <w:lvlText w:val="•"/>
      <w:lvlJc w:val="left"/>
      <w:pPr>
        <w:ind w:left="2849" w:hanging="439"/>
      </w:pPr>
      <w:rPr>
        <w:rFonts w:hint="default"/>
        <w:lang w:val="ru-RU" w:eastAsia="en-US" w:bidi="ar-SA"/>
      </w:rPr>
    </w:lvl>
    <w:lvl w:ilvl="4" w:tplc="039CBCFE">
      <w:numFmt w:val="bullet"/>
      <w:lvlText w:val="•"/>
      <w:lvlJc w:val="left"/>
      <w:pPr>
        <w:ind w:left="3799" w:hanging="439"/>
      </w:pPr>
      <w:rPr>
        <w:rFonts w:hint="default"/>
        <w:lang w:val="ru-RU" w:eastAsia="en-US" w:bidi="ar-SA"/>
      </w:rPr>
    </w:lvl>
    <w:lvl w:ilvl="5" w:tplc="165AF63A">
      <w:numFmt w:val="bullet"/>
      <w:lvlText w:val="•"/>
      <w:lvlJc w:val="left"/>
      <w:pPr>
        <w:ind w:left="4749" w:hanging="439"/>
      </w:pPr>
      <w:rPr>
        <w:rFonts w:hint="default"/>
        <w:lang w:val="ru-RU" w:eastAsia="en-US" w:bidi="ar-SA"/>
      </w:rPr>
    </w:lvl>
    <w:lvl w:ilvl="6" w:tplc="93F46ABE">
      <w:numFmt w:val="bullet"/>
      <w:lvlText w:val="•"/>
      <w:lvlJc w:val="left"/>
      <w:pPr>
        <w:ind w:left="5699" w:hanging="439"/>
      </w:pPr>
      <w:rPr>
        <w:rFonts w:hint="default"/>
        <w:lang w:val="ru-RU" w:eastAsia="en-US" w:bidi="ar-SA"/>
      </w:rPr>
    </w:lvl>
    <w:lvl w:ilvl="7" w:tplc="952A0566">
      <w:numFmt w:val="bullet"/>
      <w:lvlText w:val="•"/>
      <w:lvlJc w:val="left"/>
      <w:pPr>
        <w:ind w:left="6648" w:hanging="439"/>
      </w:pPr>
      <w:rPr>
        <w:rFonts w:hint="default"/>
        <w:lang w:val="ru-RU" w:eastAsia="en-US" w:bidi="ar-SA"/>
      </w:rPr>
    </w:lvl>
    <w:lvl w:ilvl="8" w:tplc="5AE220A4">
      <w:numFmt w:val="bullet"/>
      <w:lvlText w:val="•"/>
      <w:lvlJc w:val="left"/>
      <w:pPr>
        <w:ind w:left="7598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0528705B"/>
    <w:multiLevelType w:val="hybridMultilevel"/>
    <w:tmpl w:val="6AFA85A2"/>
    <w:lvl w:ilvl="0" w:tplc="14E626F6">
      <w:start w:val="1"/>
      <w:numFmt w:val="decimal"/>
      <w:lvlText w:val="%1."/>
      <w:lvlJc w:val="left"/>
      <w:pPr>
        <w:ind w:left="2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F0AA86">
      <w:numFmt w:val="bullet"/>
      <w:lvlText w:val="•"/>
      <w:lvlJc w:val="left"/>
      <w:pPr>
        <w:ind w:left="949" w:hanging="646"/>
      </w:pPr>
      <w:rPr>
        <w:rFonts w:hint="default"/>
        <w:lang w:val="ru-RU" w:eastAsia="en-US" w:bidi="ar-SA"/>
      </w:rPr>
    </w:lvl>
    <w:lvl w:ilvl="2" w:tplc="76F40A66">
      <w:numFmt w:val="bullet"/>
      <w:lvlText w:val="•"/>
      <w:lvlJc w:val="left"/>
      <w:pPr>
        <w:ind w:left="1899" w:hanging="646"/>
      </w:pPr>
      <w:rPr>
        <w:rFonts w:hint="default"/>
        <w:lang w:val="ru-RU" w:eastAsia="en-US" w:bidi="ar-SA"/>
      </w:rPr>
    </w:lvl>
    <w:lvl w:ilvl="3" w:tplc="54EAF51A">
      <w:numFmt w:val="bullet"/>
      <w:lvlText w:val="•"/>
      <w:lvlJc w:val="left"/>
      <w:pPr>
        <w:ind w:left="2849" w:hanging="646"/>
      </w:pPr>
      <w:rPr>
        <w:rFonts w:hint="default"/>
        <w:lang w:val="ru-RU" w:eastAsia="en-US" w:bidi="ar-SA"/>
      </w:rPr>
    </w:lvl>
    <w:lvl w:ilvl="4" w:tplc="8222B6B0">
      <w:numFmt w:val="bullet"/>
      <w:lvlText w:val="•"/>
      <w:lvlJc w:val="left"/>
      <w:pPr>
        <w:ind w:left="3799" w:hanging="646"/>
      </w:pPr>
      <w:rPr>
        <w:rFonts w:hint="default"/>
        <w:lang w:val="ru-RU" w:eastAsia="en-US" w:bidi="ar-SA"/>
      </w:rPr>
    </w:lvl>
    <w:lvl w:ilvl="5" w:tplc="2D58E11C">
      <w:numFmt w:val="bullet"/>
      <w:lvlText w:val="•"/>
      <w:lvlJc w:val="left"/>
      <w:pPr>
        <w:ind w:left="4749" w:hanging="646"/>
      </w:pPr>
      <w:rPr>
        <w:rFonts w:hint="default"/>
        <w:lang w:val="ru-RU" w:eastAsia="en-US" w:bidi="ar-SA"/>
      </w:rPr>
    </w:lvl>
    <w:lvl w:ilvl="6" w:tplc="6D9A0F18">
      <w:numFmt w:val="bullet"/>
      <w:lvlText w:val="•"/>
      <w:lvlJc w:val="left"/>
      <w:pPr>
        <w:ind w:left="5699" w:hanging="646"/>
      </w:pPr>
      <w:rPr>
        <w:rFonts w:hint="default"/>
        <w:lang w:val="ru-RU" w:eastAsia="en-US" w:bidi="ar-SA"/>
      </w:rPr>
    </w:lvl>
    <w:lvl w:ilvl="7" w:tplc="7A00BCD6">
      <w:numFmt w:val="bullet"/>
      <w:lvlText w:val="•"/>
      <w:lvlJc w:val="left"/>
      <w:pPr>
        <w:ind w:left="6648" w:hanging="646"/>
      </w:pPr>
      <w:rPr>
        <w:rFonts w:hint="default"/>
        <w:lang w:val="ru-RU" w:eastAsia="en-US" w:bidi="ar-SA"/>
      </w:rPr>
    </w:lvl>
    <w:lvl w:ilvl="8" w:tplc="DA5A6F84">
      <w:numFmt w:val="bullet"/>
      <w:lvlText w:val="•"/>
      <w:lvlJc w:val="left"/>
      <w:pPr>
        <w:ind w:left="7598" w:hanging="64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E1"/>
    <w:multiLevelType w:val="multilevel"/>
    <w:tmpl w:val="F0047A60"/>
    <w:lvl w:ilvl="0">
      <w:start w:val="1"/>
      <w:numFmt w:val="decimal"/>
      <w:lvlText w:val="%1"/>
      <w:lvlJc w:val="left"/>
      <w:pPr>
        <w:ind w:left="237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6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2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EF86348"/>
    <w:multiLevelType w:val="hybridMultilevel"/>
    <w:tmpl w:val="106C5C72"/>
    <w:lvl w:ilvl="0" w:tplc="E90E440A">
      <w:start w:val="1"/>
      <w:numFmt w:val="decimal"/>
      <w:lvlText w:val="%1."/>
      <w:lvlJc w:val="left"/>
      <w:pPr>
        <w:ind w:left="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3A7242">
      <w:numFmt w:val="bullet"/>
      <w:lvlText w:val="•"/>
      <w:lvlJc w:val="left"/>
      <w:pPr>
        <w:ind w:left="949" w:hanging="317"/>
      </w:pPr>
      <w:rPr>
        <w:rFonts w:hint="default"/>
        <w:lang w:val="ru-RU" w:eastAsia="en-US" w:bidi="ar-SA"/>
      </w:rPr>
    </w:lvl>
    <w:lvl w:ilvl="2" w:tplc="AEE64A60">
      <w:numFmt w:val="bullet"/>
      <w:lvlText w:val="•"/>
      <w:lvlJc w:val="left"/>
      <w:pPr>
        <w:ind w:left="1899" w:hanging="317"/>
      </w:pPr>
      <w:rPr>
        <w:rFonts w:hint="default"/>
        <w:lang w:val="ru-RU" w:eastAsia="en-US" w:bidi="ar-SA"/>
      </w:rPr>
    </w:lvl>
    <w:lvl w:ilvl="3" w:tplc="977E62DE">
      <w:numFmt w:val="bullet"/>
      <w:lvlText w:val="•"/>
      <w:lvlJc w:val="left"/>
      <w:pPr>
        <w:ind w:left="2849" w:hanging="317"/>
      </w:pPr>
      <w:rPr>
        <w:rFonts w:hint="default"/>
        <w:lang w:val="ru-RU" w:eastAsia="en-US" w:bidi="ar-SA"/>
      </w:rPr>
    </w:lvl>
    <w:lvl w:ilvl="4" w:tplc="719E3DAA">
      <w:numFmt w:val="bullet"/>
      <w:lvlText w:val="•"/>
      <w:lvlJc w:val="left"/>
      <w:pPr>
        <w:ind w:left="3799" w:hanging="317"/>
      </w:pPr>
      <w:rPr>
        <w:rFonts w:hint="default"/>
        <w:lang w:val="ru-RU" w:eastAsia="en-US" w:bidi="ar-SA"/>
      </w:rPr>
    </w:lvl>
    <w:lvl w:ilvl="5" w:tplc="1026BEAE">
      <w:numFmt w:val="bullet"/>
      <w:lvlText w:val="•"/>
      <w:lvlJc w:val="left"/>
      <w:pPr>
        <w:ind w:left="4749" w:hanging="317"/>
      </w:pPr>
      <w:rPr>
        <w:rFonts w:hint="default"/>
        <w:lang w:val="ru-RU" w:eastAsia="en-US" w:bidi="ar-SA"/>
      </w:rPr>
    </w:lvl>
    <w:lvl w:ilvl="6" w:tplc="A30CA61A">
      <w:numFmt w:val="bullet"/>
      <w:lvlText w:val="•"/>
      <w:lvlJc w:val="left"/>
      <w:pPr>
        <w:ind w:left="5699" w:hanging="317"/>
      </w:pPr>
      <w:rPr>
        <w:rFonts w:hint="default"/>
        <w:lang w:val="ru-RU" w:eastAsia="en-US" w:bidi="ar-SA"/>
      </w:rPr>
    </w:lvl>
    <w:lvl w:ilvl="7" w:tplc="C5AE5E98">
      <w:numFmt w:val="bullet"/>
      <w:lvlText w:val="•"/>
      <w:lvlJc w:val="left"/>
      <w:pPr>
        <w:ind w:left="6648" w:hanging="317"/>
      </w:pPr>
      <w:rPr>
        <w:rFonts w:hint="default"/>
        <w:lang w:val="ru-RU" w:eastAsia="en-US" w:bidi="ar-SA"/>
      </w:rPr>
    </w:lvl>
    <w:lvl w:ilvl="8" w:tplc="6E10DEEA">
      <w:numFmt w:val="bullet"/>
      <w:lvlText w:val="•"/>
      <w:lvlJc w:val="left"/>
      <w:pPr>
        <w:ind w:left="7598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E0430D8"/>
    <w:multiLevelType w:val="hybridMultilevel"/>
    <w:tmpl w:val="FEA0CF9A"/>
    <w:lvl w:ilvl="0" w:tplc="E866189C">
      <w:start w:val="1"/>
      <w:numFmt w:val="decimal"/>
      <w:lvlText w:val="%1."/>
      <w:lvlJc w:val="left"/>
      <w:pPr>
        <w:ind w:left="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04265E">
      <w:numFmt w:val="bullet"/>
      <w:lvlText w:val="•"/>
      <w:lvlJc w:val="left"/>
      <w:pPr>
        <w:ind w:left="949" w:hanging="324"/>
      </w:pPr>
      <w:rPr>
        <w:rFonts w:hint="default"/>
        <w:lang w:val="ru-RU" w:eastAsia="en-US" w:bidi="ar-SA"/>
      </w:rPr>
    </w:lvl>
    <w:lvl w:ilvl="2" w:tplc="614C3D68">
      <w:numFmt w:val="bullet"/>
      <w:lvlText w:val="•"/>
      <w:lvlJc w:val="left"/>
      <w:pPr>
        <w:ind w:left="1899" w:hanging="324"/>
      </w:pPr>
      <w:rPr>
        <w:rFonts w:hint="default"/>
        <w:lang w:val="ru-RU" w:eastAsia="en-US" w:bidi="ar-SA"/>
      </w:rPr>
    </w:lvl>
    <w:lvl w:ilvl="3" w:tplc="0FD4A1C2">
      <w:numFmt w:val="bullet"/>
      <w:lvlText w:val="•"/>
      <w:lvlJc w:val="left"/>
      <w:pPr>
        <w:ind w:left="2849" w:hanging="324"/>
      </w:pPr>
      <w:rPr>
        <w:rFonts w:hint="default"/>
        <w:lang w:val="ru-RU" w:eastAsia="en-US" w:bidi="ar-SA"/>
      </w:rPr>
    </w:lvl>
    <w:lvl w:ilvl="4" w:tplc="3822E642">
      <w:numFmt w:val="bullet"/>
      <w:lvlText w:val="•"/>
      <w:lvlJc w:val="left"/>
      <w:pPr>
        <w:ind w:left="3799" w:hanging="324"/>
      </w:pPr>
      <w:rPr>
        <w:rFonts w:hint="default"/>
        <w:lang w:val="ru-RU" w:eastAsia="en-US" w:bidi="ar-SA"/>
      </w:rPr>
    </w:lvl>
    <w:lvl w:ilvl="5" w:tplc="27487208">
      <w:numFmt w:val="bullet"/>
      <w:lvlText w:val="•"/>
      <w:lvlJc w:val="left"/>
      <w:pPr>
        <w:ind w:left="4749" w:hanging="324"/>
      </w:pPr>
      <w:rPr>
        <w:rFonts w:hint="default"/>
        <w:lang w:val="ru-RU" w:eastAsia="en-US" w:bidi="ar-SA"/>
      </w:rPr>
    </w:lvl>
    <w:lvl w:ilvl="6" w:tplc="1564EC94">
      <w:numFmt w:val="bullet"/>
      <w:lvlText w:val="•"/>
      <w:lvlJc w:val="left"/>
      <w:pPr>
        <w:ind w:left="5699" w:hanging="324"/>
      </w:pPr>
      <w:rPr>
        <w:rFonts w:hint="default"/>
        <w:lang w:val="ru-RU" w:eastAsia="en-US" w:bidi="ar-SA"/>
      </w:rPr>
    </w:lvl>
    <w:lvl w:ilvl="7" w:tplc="B0D8DAAE">
      <w:numFmt w:val="bullet"/>
      <w:lvlText w:val="•"/>
      <w:lvlJc w:val="left"/>
      <w:pPr>
        <w:ind w:left="6648" w:hanging="324"/>
      </w:pPr>
      <w:rPr>
        <w:rFonts w:hint="default"/>
        <w:lang w:val="ru-RU" w:eastAsia="en-US" w:bidi="ar-SA"/>
      </w:rPr>
    </w:lvl>
    <w:lvl w:ilvl="8" w:tplc="0200FC92">
      <w:numFmt w:val="bullet"/>
      <w:lvlText w:val="•"/>
      <w:lvlJc w:val="left"/>
      <w:pPr>
        <w:ind w:left="7598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1E321DB1"/>
    <w:multiLevelType w:val="hybridMultilevel"/>
    <w:tmpl w:val="6EE6E1A4"/>
    <w:lvl w:ilvl="0" w:tplc="FFF87CFA">
      <w:start w:val="1"/>
      <w:numFmt w:val="decimal"/>
      <w:lvlText w:val="%1."/>
      <w:lvlJc w:val="left"/>
      <w:pPr>
        <w:ind w:left="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C2E7D8">
      <w:numFmt w:val="bullet"/>
      <w:lvlText w:val="•"/>
      <w:lvlJc w:val="left"/>
      <w:pPr>
        <w:ind w:left="949" w:hanging="476"/>
      </w:pPr>
      <w:rPr>
        <w:rFonts w:hint="default"/>
        <w:lang w:val="ru-RU" w:eastAsia="en-US" w:bidi="ar-SA"/>
      </w:rPr>
    </w:lvl>
    <w:lvl w:ilvl="2" w:tplc="C5B433A2">
      <w:numFmt w:val="bullet"/>
      <w:lvlText w:val="•"/>
      <w:lvlJc w:val="left"/>
      <w:pPr>
        <w:ind w:left="1899" w:hanging="476"/>
      </w:pPr>
      <w:rPr>
        <w:rFonts w:hint="default"/>
        <w:lang w:val="ru-RU" w:eastAsia="en-US" w:bidi="ar-SA"/>
      </w:rPr>
    </w:lvl>
    <w:lvl w:ilvl="3" w:tplc="2B50E5FC">
      <w:numFmt w:val="bullet"/>
      <w:lvlText w:val="•"/>
      <w:lvlJc w:val="left"/>
      <w:pPr>
        <w:ind w:left="2849" w:hanging="476"/>
      </w:pPr>
      <w:rPr>
        <w:rFonts w:hint="default"/>
        <w:lang w:val="ru-RU" w:eastAsia="en-US" w:bidi="ar-SA"/>
      </w:rPr>
    </w:lvl>
    <w:lvl w:ilvl="4" w:tplc="9BFEF26C">
      <w:numFmt w:val="bullet"/>
      <w:lvlText w:val="•"/>
      <w:lvlJc w:val="left"/>
      <w:pPr>
        <w:ind w:left="3799" w:hanging="476"/>
      </w:pPr>
      <w:rPr>
        <w:rFonts w:hint="default"/>
        <w:lang w:val="ru-RU" w:eastAsia="en-US" w:bidi="ar-SA"/>
      </w:rPr>
    </w:lvl>
    <w:lvl w:ilvl="5" w:tplc="BB229096">
      <w:numFmt w:val="bullet"/>
      <w:lvlText w:val="•"/>
      <w:lvlJc w:val="left"/>
      <w:pPr>
        <w:ind w:left="4749" w:hanging="476"/>
      </w:pPr>
      <w:rPr>
        <w:rFonts w:hint="default"/>
        <w:lang w:val="ru-RU" w:eastAsia="en-US" w:bidi="ar-SA"/>
      </w:rPr>
    </w:lvl>
    <w:lvl w:ilvl="6" w:tplc="2D78A0B8">
      <w:numFmt w:val="bullet"/>
      <w:lvlText w:val="•"/>
      <w:lvlJc w:val="left"/>
      <w:pPr>
        <w:ind w:left="5699" w:hanging="476"/>
      </w:pPr>
      <w:rPr>
        <w:rFonts w:hint="default"/>
        <w:lang w:val="ru-RU" w:eastAsia="en-US" w:bidi="ar-SA"/>
      </w:rPr>
    </w:lvl>
    <w:lvl w:ilvl="7" w:tplc="65A02C32">
      <w:numFmt w:val="bullet"/>
      <w:lvlText w:val="•"/>
      <w:lvlJc w:val="left"/>
      <w:pPr>
        <w:ind w:left="6648" w:hanging="476"/>
      </w:pPr>
      <w:rPr>
        <w:rFonts w:hint="default"/>
        <w:lang w:val="ru-RU" w:eastAsia="en-US" w:bidi="ar-SA"/>
      </w:rPr>
    </w:lvl>
    <w:lvl w:ilvl="8" w:tplc="07E2C4DA">
      <w:numFmt w:val="bullet"/>
      <w:lvlText w:val="•"/>
      <w:lvlJc w:val="left"/>
      <w:pPr>
        <w:ind w:left="7598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2B62090E"/>
    <w:multiLevelType w:val="hybridMultilevel"/>
    <w:tmpl w:val="043E3C24"/>
    <w:lvl w:ilvl="0" w:tplc="A79A4D76">
      <w:start w:val="1"/>
      <w:numFmt w:val="decimal"/>
      <w:lvlText w:val="%1)"/>
      <w:lvlJc w:val="left"/>
      <w:pPr>
        <w:ind w:left="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BCC888">
      <w:start w:val="1"/>
      <w:numFmt w:val="decimal"/>
      <w:lvlText w:val="%2."/>
      <w:lvlJc w:val="left"/>
      <w:pPr>
        <w:ind w:left="2" w:hanging="2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9204EC">
      <w:start w:val="1"/>
      <w:numFmt w:val="upperRoman"/>
      <w:lvlText w:val="%3."/>
      <w:lvlJc w:val="left"/>
      <w:pPr>
        <w:ind w:left="297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944354C">
      <w:numFmt w:val="bullet"/>
      <w:lvlText w:val="•"/>
      <w:lvlJc w:val="left"/>
      <w:pPr>
        <w:ind w:left="4428" w:hanging="250"/>
      </w:pPr>
      <w:rPr>
        <w:rFonts w:hint="default"/>
        <w:lang w:val="ru-RU" w:eastAsia="en-US" w:bidi="ar-SA"/>
      </w:rPr>
    </w:lvl>
    <w:lvl w:ilvl="4" w:tplc="00FAE8AC">
      <w:numFmt w:val="bullet"/>
      <w:lvlText w:val="•"/>
      <w:lvlJc w:val="left"/>
      <w:pPr>
        <w:ind w:left="5152" w:hanging="250"/>
      </w:pPr>
      <w:rPr>
        <w:rFonts w:hint="default"/>
        <w:lang w:val="ru-RU" w:eastAsia="en-US" w:bidi="ar-SA"/>
      </w:rPr>
    </w:lvl>
    <w:lvl w:ilvl="5" w:tplc="B540D4A2">
      <w:numFmt w:val="bullet"/>
      <w:lvlText w:val="•"/>
      <w:lvlJc w:val="left"/>
      <w:pPr>
        <w:ind w:left="5877" w:hanging="250"/>
      </w:pPr>
      <w:rPr>
        <w:rFonts w:hint="default"/>
        <w:lang w:val="ru-RU" w:eastAsia="en-US" w:bidi="ar-SA"/>
      </w:rPr>
    </w:lvl>
    <w:lvl w:ilvl="6" w:tplc="EA507D30">
      <w:numFmt w:val="bullet"/>
      <w:lvlText w:val="•"/>
      <w:lvlJc w:val="left"/>
      <w:pPr>
        <w:ind w:left="6601" w:hanging="250"/>
      </w:pPr>
      <w:rPr>
        <w:rFonts w:hint="default"/>
        <w:lang w:val="ru-RU" w:eastAsia="en-US" w:bidi="ar-SA"/>
      </w:rPr>
    </w:lvl>
    <w:lvl w:ilvl="7" w:tplc="FE2A1E80">
      <w:numFmt w:val="bullet"/>
      <w:lvlText w:val="•"/>
      <w:lvlJc w:val="left"/>
      <w:pPr>
        <w:ind w:left="7325" w:hanging="250"/>
      </w:pPr>
      <w:rPr>
        <w:rFonts w:hint="default"/>
        <w:lang w:val="ru-RU" w:eastAsia="en-US" w:bidi="ar-SA"/>
      </w:rPr>
    </w:lvl>
    <w:lvl w:ilvl="8" w:tplc="8B083794">
      <w:numFmt w:val="bullet"/>
      <w:lvlText w:val="•"/>
      <w:lvlJc w:val="left"/>
      <w:pPr>
        <w:ind w:left="8049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4E3932F3"/>
    <w:multiLevelType w:val="hybridMultilevel"/>
    <w:tmpl w:val="A0CA07D4"/>
    <w:lvl w:ilvl="0" w:tplc="B614A45E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885A10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B44E93A6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E2C4F4C6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D1BC9AF6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79F8AE9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8E32841E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EEB8B5C8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52224186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FCF6C13"/>
    <w:multiLevelType w:val="multilevel"/>
    <w:tmpl w:val="DA1E4D46"/>
    <w:lvl w:ilvl="0">
      <w:start w:val="1"/>
      <w:numFmt w:val="decimal"/>
      <w:lvlText w:val="%1"/>
      <w:lvlJc w:val="left"/>
      <w:pPr>
        <w:ind w:left="2" w:hanging="8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" w:hanging="8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9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868"/>
      </w:pPr>
      <w:rPr>
        <w:rFonts w:hint="default"/>
        <w:lang w:val="ru-RU" w:eastAsia="en-US" w:bidi="ar-SA"/>
      </w:rPr>
    </w:lvl>
  </w:abstractNum>
  <w:abstractNum w:abstractNumId="10" w15:restartNumberingAfterBreak="0">
    <w:nsid w:val="574D0089"/>
    <w:multiLevelType w:val="hybridMultilevel"/>
    <w:tmpl w:val="6854D942"/>
    <w:lvl w:ilvl="0" w:tplc="6D9EBD0A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03F14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4DF62862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A9B07094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45DC8332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9C981C40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360CD0D0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5C7C98F2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EBD8577E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abstractNum w:abstractNumId="11" w15:restartNumberingAfterBreak="0">
    <w:nsid w:val="58D664BA"/>
    <w:multiLevelType w:val="hybridMultilevel"/>
    <w:tmpl w:val="DEA01B66"/>
    <w:lvl w:ilvl="0" w:tplc="70D4E44A">
      <w:start w:val="1"/>
      <w:numFmt w:val="decimal"/>
      <w:lvlText w:val="%1."/>
      <w:lvlJc w:val="left"/>
      <w:pPr>
        <w:ind w:left="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46C9B2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45CE433E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261A1A9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B06C973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EB7488E2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B330EAE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30023B9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BAB2F64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796"/>
    <w:rsid w:val="000A3963"/>
    <w:rsid w:val="00531796"/>
    <w:rsid w:val="006F3007"/>
    <w:rsid w:val="00A66FEF"/>
    <w:rsid w:val="00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5C1F"/>
  <w15:docId w15:val="{13C6C659-2464-41E5-ABA4-00A9086D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 V.</cp:lastModifiedBy>
  <cp:revision>3</cp:revision>
  <dcterms:created xsi:type="dcterms:W3CDTF">2025-01-14T09:05:00Z</dcterms:created>
  <dcterms:modified xsi:type="dcterms:W3CDTF">2025-01-21T10:51:00Z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