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60FE" w14:textId="7091D3E3" w:rsidR="00D77E8D" w:rsidRDefault="00D77E8D" w:rsidP="00EB4DA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</w:t>
      </w:r>
    </w:p>
    <w:p w14:paraId="482DED54" w14:textId="77777777" w:rsidR="00D77E8D" w:rsidRDefault="00D77E8D" w:rsidP="00EB4DA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tbl>
      <w:tblPr>
        <w:tblW w:w="9854" w:type="dxa"/>
        <w:tblLayout w:type="fixed"/>
        <w:tblLook w:val="0400" w:firstRow="0" w:lastRow="0" w:firstColumn="0" w:lastColumn="0" w:noHBand="0" w:noVBand="1"/>
      </w:tblPr>
      <w:tblGrid>
        <w:gridCol w:w="9322"/>
        <w:gridCol w:w="532"/>
      </w:tblGrid>
      <w:tr w:rsidR="00D77E8D" w:rsidRPr="00F7242F" w14:paraId="73417F5B" w14:textId="77777777" w:rsidTr="00EB4DA7">
        <w:tc>
          <w:tcPr>
            <w:tcW w:w="9322" w:type="dxa"/>
          </w:tcPr>
          <w:p w14:paraId="24F68F80" w14:textId="77777777" w:rsidR="00D77E8D" w:rsidRPr="00F7242F" w:rsidRDefault="00AC2ECD" w:rsidP="00EB4DA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Введение.................................................................................................................</w:t>
            </w:r>
          </w:p>
        </w:tc>
        <w:tc>
          <w:tcPr>
            <w:tcW w:w="532" w:type="dxa"/>
          </w:tcPr>
          <w:p w14:paraId="21EBEF21" w14:textId="114F1073" w:rsidR="00D77E8D" w:rsidRPr="00F7242F" w:rsidRDefault="006671D5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77E8D" w:rsidRPr="00F7242F" w14:paraId="4A192052" w14:textId="77777777" w:rsidTr="00EB4DA7">
        <w:tc>
          <w:tcPr>
            <w:tcW w:w="9322" w:type="dxa"/>
          </w:tcPr>
          <w:p w14:paraId="32BFB301" w14:textId="77777777" w:rsidR="00D77E8D" w:rsidRPr="00F7242F" w:rsidRDefault="00D77E8D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Теоретические аспекты исследования финансовых рисков организации</w:t>
            </w:r>
            <w:r w:rsidR="00AC2ECD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532" w:type="dxa"/>
          </w:tcPr>
          <w:p w14:paraId="7F430B65" w14:textId="4D4B272A" w:rsidR="00D77E8D" w:rsidRPr="00F7242F" w:rsidRDefault="006671D5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77E8D" w:rsidRPr="00F7242F" w14:paraId="2E2F0C99" w14:textId="77777777" w:rsidTr="00EB4DA7">
        <w:tc>
          <w:tcPr>
            <w:tcW w:w="9322" w:type="dxa"/>
          </w:tcPr>
          <w:p w14:paraId="40F9C2BB" w14:textId="77777777" w:rsidR="00D77E8D" w:rsidRPr="00F7242F" w:rsidRDefault="00D77E8D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Понятие и сущность финансовых рисков организации........</w:t>
            </w:r>
            <w:r w:rsidR="00AC2ECD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</w:t>
            </w:r>
          </w:p>
        </w:tc>
        <w:tc>
          <w:tcPr>
            <w:tcW w:w="532" w:type="dxa"/>
          </w:tcPr>
          <w:p w14:paraId="48B04AB6" w14:textId="0BDFB150" w:rsidR="00D77E8D" w:rsidRPr="00F7242F" w:rsidRDefault="006671D5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77E8D" w:rsidRPr="00F7242F" w14:paraId="63E32A2D" w14:textId="77777777" w:rsidTr="00EB4DA7">
        <w:trPr>
          <w:trHeight w:val="567"/>
        </w:trPr>
        <w:tc>
          <w:tcPr>
            <w:tcW w:w="9322" w:type="dxa"/>
          </w:tcPr>
          <w:p w14:paraId="5E03134F" w14:textId="4BC9D054" w:rsidR="00D77E8D" w:rsidRPr="00F7242F" w:rsidRDefault="00D77E8D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  <w:r w:rsidR="00653657" w:rsidRP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</w:t>
            </w:r>
            <w:r w:rsid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</w:t>
            </w:r>
            <w:r w:rsid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r w:rsid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финансовыми</w:t>
            </w:r>
            <w:r w:rsid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рисками</w:t>
            </w:r>
            <w:r w:rsid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организации.........</w:t>
            </w:r>
          </w:p>
        </w:tc>
        <w:tc>
          <w:tcPr>
            <w:tcW w:w="532" w:type="dxa"/>
          </w:tcPr>
          <w:p w14:paraId="3708B3B6" w14:textId="23073A23" w:rsidR="00D77E8D" w:rsidRPr="00F7242F" w:rsidRDefault="00653657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77E8D" w:rsidRPr="00F7242F" w14:paraId="65CCDF1A" w14:textId="77777777" w:rsidTr="00EB4DA7">
        <w:tc>
          <w:tcPr>
            <w:tcW w:w="9322" w:type="dxa"/>
          </w:tcPr>
          <w:p w14:paraId="1CD5F11E" w14:textId="20D94CEC" w:rsidR="00D77E8D" w:rsidRPr="00653657" w:rsidRDefault="00D77E8D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Оценка </w:t>
            </w:r>
            <w:r w:rsidR="00AC2ECD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финансовых 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рисков</w:t>
            </w:r>
            <w:r w:rsidR="00536463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организации (на примере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2ECD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ПАО «АК «ЮТэйр»</w:t>
            </w:r>
            <w:r w:rsidR="00536463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г. Тюмень)</w:t>
            </w:r>
            <w:r w:rsidR="00653657" w:rsidRP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3657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</w:t>
            </w:r>
            <w:r w:rsidR="00653657" w:rsidRP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2" w:type="dxa"/>
          </w:tcPr>
          <w:p w14:paraId="2755DBE8" w14:textId="77777777" w:rsidR="00F7242F" w:rsidRDefault="00F7242F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8FCD89" w14:textId="39370420" w:rsidR="00D77E8D" w:rsidRPr="00F7242F" w:rsidRDefault="0031487F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7E8D" w:rsidRPr="00F7242F" w14:paraId="226E2CE4" w14:textId="77777777" w:rsidTr="00EB4DA7">
        <w:tc>
          <w:tcPr>
            <w:tcW w:w="9322" w:type="dxa"/>
          </w:tcPr>
          <w:p w14:paraId="7F97DC95" w14:textId="6F76DD02" w:rsidR="00D77E8D" w:rsidRPr="00653657" w:rsidRDefault="00AC2ECD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 </w:t>
            </w:r>
            <w:r w:rsidR="00D77E8D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финансовых рисков 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ПАО «АК «</w:t>
            </w:r>
            <w:proofErr w:type="gramStart"/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ЮТэйр»</w:t>
            </w:r>
            <w:r w:rsidR="00EB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gramEnd"/>
            <w:r w:rsidR="00EB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………..</w:t>
            </w:r>
            <w:r w:rsidR="00653657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</w:t>
            </w:r>
            <w:r w:rsidR="00653657" w:rsidRP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532" w:type="dxa"/>
          </w:tcPr>
          <w:p w14:paraId="7FF62ECB" w14:textId="14CA004D" w:rsidR="00D77E8D" w:rsidRPr="00F7242F" w:rsidRDefault="0031487F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7E8D" w:rsidRPr="00F7242F" w14:paraId="3BEEE4D7" w14:textId="77777777" w:rsidTr="00EB4DA7">
        <w:tc>
          <w:tcPr>
            <w:tcW w:w="9322" w:type="dxa"/>
          </w:tcPr>
          <w:p w14:paraId="77BCE624" w14:textId="52F72FE4" w:rsidR="00D77E8D" w:rsidRPr="00F7242F" w:rsidRDefault="00AC2ECD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2.2. </w:t>
            </w:r>
            <w:r w:rsidR="00D77E8D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применяемых способов управления 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финансовых </w:t>
            </w:r>
            <w:r w:rsidR="00D77E8D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рисками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ПАО «АК «ЮТэйр</w:t>
            </w:r>
            <w:r w:rsidR="00EB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F0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047A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</w:t>
            </w:r>
            <w:r w:rsidR="005F047A" w:rsidRP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</w:t>
            </w:r>
          </w:p>
        </w:tc>
        <w:tc>
          <w:tcPr>
            <w:tcW w:w="532" w:type="dxa"/>
          </w:tcPr>
          <w:p w14:paraId="639BAC2D" w14:textId="77777777" w:rsidR="00F7242F" w:rsidRDefault="00F7242F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D5DF94" w14:textId="04430C09" w:rsidR="00D77E8D" w:rsidRPr="00F7242F" w:rsidRDefault="00493466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6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C2ECD" w:rsidRPr="00F7242F" w14:paraId="45A4A26F" w14:textId="77777777" w:rsidTr="00EB4DA7">
        <w:tc>
          <w:tcPr>
            <w:tcW w:w="9322" w:type="dxa"/>
          </w:tcPr>
          <w:p w14:paraId="56CDEF29" w14:textId="7B25A45F" w:rsidR="00AC2ECD" w:rsidRPr="00653657" w:rsidRDefault="00AC2ECD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Управление финансовыми рисками </w:t>
            </w:r>
            <w:r w:rsidR="00536463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примере ПАО «АК «ЮТэйр», г. Тюмень)</w:t>
            </w:r>
            <w:r w:rsidR="00653657" w:rsidRP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3657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.............................................................................................................</w:t>
            </w:r>
            <w:r w:rsidR="00653657" w:rsidRP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</w:t>
            </w:r>
          </w:p>
        </w:tc>
        <w:tc>
          <w:tcPr>
            <w:tcW w:w="532" w:type="dxa"/>
          </w:tcPr>
          <w:p w14:paraId="0F6CFBBA" w14:textId="77777777" w:rsidR="00F7242F" w:rsidRDefault="00F7242F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5CD6AE" w14:textId="5022095A" w:rsidR="00AC2ECD" w:rsidRPr="006671D5" w:rsidRDefault="00160EEB" w:rsidP="005F59F4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C2ECD" w:rsidRPr="00F7242F" w14:paraId="7475B388" w14:textId="77777777" w:rsidTr="00EB4DA7">
        <w:tc>
          <w:tcPr>
            <w:tcW w:w="9322" w:type="dxa"/>
          </w:tcPr>
          <w:p w14:paraId="57F85244" w14:textId="462720B0" w:rsidR="00AC2ECD" w:rsidRPr="00653657" w:rsidRDefault="00AC2ECD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Предлагаемые методы управления финансовыми рисками ПАО «АК «</w:t>
            </w:r>
            <w:proofErr w:type="gramStart"/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ЮТэйр»</w:t>
            </w:r>
            <w:r w:rsidR="00EB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gramEnd"/>
            <w:r w:rsidR="00EB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………..</w:t>
            </w:r>
            <w:r w:rsidR="00653657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</w:t>
            </w:r>
            <w:r w:rsidR="00653657" w:rsidRPr="0065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</w:t>
            </w:r>
          </w:p>
        </w:tc>
        <w:tc>
          <w:tcPr>
            <w:tcW w:w="532" w:type="dxa"/>
          </w:tcPr>
          <w:p w14:paraId="6DBA3FB4" w14:textId="77777777" w:rsidR="00F7242F" w:rsidRDefault="00F7242F" w:rsidP="00EB4DA7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78E1A7" w14:textId="21D705C9" w:rsidR="00AC2ECD" w:rsidRPr="006671D5" w:rsidRDefault="00160EEB" w:rsidP="005F59F4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B4DA7" w:rsidRPr="00F7242F" w14:paraId="1B1E9DA5" w14:textId="77777777" w:rsidTr="00EB4DA7">
        <w:tc>
          <w:tcPr>
            <w:tcW w:w="9322" w:type="dxa"/>
          </w:tcPr>
          <w:p w14:paraId="0832C728" w14:textId="5D31A3AB" w:rsidR="00EB4DA7" w:rsidRPr="00F7242F" w:rsidRDefault="00EB4DA7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Экономическое обоснование рекомендаций по управлению финансовыми рисками ПАО «АК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ЮТэйр»…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………………………………...</w:t>
            </w:r>
          </w:p>
        </w:tc>
        <w:tc>
          <w:tcPr>
            <w:tcW w:w="532" w:type="dxa"/>
          </w:tcPr>
          <w:p w14:paraId="1F0EF01F" w14:textId="6183439E" w:rsidR="00EB4DA7" w:rsidRPr="006671D5" w:rsidRDefault="00EB4DA7" w:rsidP="005F59F4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77E8D" w:rsidRPr="00F7242F" w14:paraId="30AED1A1" w14:textId="77777777" w:rsidTr="00EB4DA7">
        <w:tc>
          <w:tcPr>
            <w:tcW w:w="9322" w:type="dxa"/>
          </w:tcPr>
          <w:p w14:paraId="36434469" w14:textId="77777777" w:rsidR="00D77E8D" w:rsidRPr="00F7242F" w:rsidRDefault="00AC2ECD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Заключение.............................................................................................................</w:t>
            </w:r>
          </w:p>
        </w:tc>
        <w:tc>
          <w:tcPr>
            <w:tcW w:w="532" w:type="dxa"/>
          </w:tcPr>
          <w:p w14:paraId="4DA43C6C" w14:textId="591999C3" w:rsidR="00D77E8D" w:rsidRPr="006671D5" w:rsidRDefault="00160EEB" w:rsidP="005F59F4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6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77E8D" w:rsidRPr="00F7242F" w14:paraId="4B00D3A5" w14:textId="77777777" w:rsidTr="00EB4DA7">
        <w:tc>
          <w:tcPr>
            <w:tcW w:w="9322" w:type="dxa"/>
          </w:tcPr>
          <w:p w14:paraId="3DACD186" w14:textId="77777777" w:rsidR="00D77E8D" w:rsidRPr="00F7242F" w:rsidRDefault="00AC2ECD" w:rsidP="00EB4DA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использованных источников</w:t>
            </w:r>
            <w:r w:rsidR="00D77E8D"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</w:t>
            </w:r>
          </w:p>
        </w:tc>
        <w:tc>
          <w:tcPr>
            <w:tcW w:w="532" w:type="dxa"/>
          </w:tcPr>
          <w:p w14:paraId="29EED8D3" w14:textId="3BB63E09" w:rsidR="00D77E8D" w:rsidRPr="006671D5" w:rsidRDefault="00160EEB" w:rsidP="005F59F4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6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671D5" w:rsidRPr="00F7242F" w14:paraId="3329BFFF" w14:textId="77777777" w:rsidTr="00EB4DA7">
        <w:tc>
          <w:tcPr>
            <w:tcW w:w="9322" w:type="dxa"/>
          </w:tcPr>
          <w:p w14:paraId="79C4353C" w14:textId="32B315E1" w:rsidR="006671D5" w:rsidRPr="00F7242F" w:rsidRDefault="006671D5" w:rsidP="006671D5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F7242F">
              <w:rPr>
                <w:rFonts w:ascii="Times New Roman" w:hAnsi="Times New Roman" w:cs="Times New Roman"/>
                <w:sz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2" w:type="dxa"/>
          </w:tcPr>
          <w:p w14:paraId="773B25E5" w14:textId="3B99ADFB" w:rsidR="006671D5" w:rsidRPr="006671D5" w:rsidRDefault="006671D5" w:rsidP="006671D5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58F40A8C" w14:textId="77777777" w:rsidR="00451E10" w:rsidRDefault="00451E10" w:rsidP="00EB4DA7">
      <w:pPr>
        <w:spacing w:after="0" w:line="360" w:lineRule="auto"/>
        <w:contextualSpacing/>
      </w:pPr>
    </w:p>
    <w:p w14:paraId="254592E0" w14:textId="77777777" w:rsidR="009E6669" w:rsidRDefault="009E6669"/>
    <w:p w14:paraId="79205212" w14:textId="77777777" w:rsidR="009E6669" w:rsidRDefault="009E6669"/>
    <w:p w14:paraId="67F96D4E" w14:textId="447D5B02" w:rsidR="009E6669" w:rsidRDefault="009E6669"/>
    <w:p w14:paraId="18193C16" w14:textId="5038B7D0" w:rsidR="00F7242F" w:rsidRDefault="00F7242F"/>
    <w:p w14:paraId="2AF09768" w14:textId="77777777" w:rsidR="005710F7" w:rsidRDefault="005710F7"/>
    <w:p w14:paraId="72449854" w14:textId="139419EE" w:rsidR="00F7242F" w:rsidRDefault="00F7242F"/>
    <w:p w14:paraId="33B37D81" w14:textId="0A2923A9" w:rsidR="00F7242F" w:rsidRDefault="00F7242F"/>
    <w:p w14:paraId="33FEF70D" w14:textId="77777777" w:rsidR="00653657" w:rsidRDefault="00653657"/>
    <w:p w14:paraId="10747A32" w14:textId="77777777" w:rsidR="006671D5" w:rsidRDefault="006671D5"/>
    <w:p w14:paraId="6749C896" w14:textId="77777777" w:rsidR="00F7242F" w:rsidRDefault="00F7242F"/>
    <w:p w14:paraId="66E33169" w14:textId="77777777" w:rsidR="00015F86" w:rsidRDefault="00015F86" w:rsidP="009E66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ВВЕДЕНИЕ</w:t>
      </w:r>
    </w:p>
    <w:p w14:paraId="34EB6E73" w14:textId="77777777" w:rsidR="00015F86" w:rsidRDefault="00015F86" w:rsidP="009E66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3329E3D6" w14:textId="051E1D1E" w:rsidR="00697F62" w:rsidRPr="006671D5" w:rsidRDefault="00697F62" w:rsidP="00015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71D5">
        <w:rPr>
          <w:rFonts w:ascii="Times New Roman" w:hAnsi="Times New Roman" w:cs="Times New Roman"/>
          <w:sz w:val="28"/>
        </w:rPr>
        <w:t xml:space="preserve">Риск существует во всех видах деятельности каждого субъекта. Также это касается и </w:t>
      </w:r>
      <w:proofErr w:type="gramStart"/>
      <w:r w:rsidRPr="006671D5">
        <w:rPr>
          <w:rFonts w:ascii="Times New Roman" w:hAnsi="Times New Roman" w:cs="Times New Roman"/>
          <w:sz w:val="28"/>
        </w:rPr>
        <w:t>бизнес среды</w:t>
      </w:r>
      <w:proofErr w:type="gramEnd"/>
      <w:r w:rsidRPr="006671D5">
        <w:rPr>
          <w:rFonts w:ascii="Times New Roman" w:hAnsi="Times New Roman" w:cs="Times New Roman"/>
          <w:sz w:val="28"/>
        </w:rPr>
        <w:t>. Каждая организация сталкивается с риском абсолютно во всех бизнес-процессах. Данный факт формирует возможность создания благоприятных факторов для получения положительных исходов в процессе принятия решения, что формулирует актуальность данной темы исследования.</w:t>
      </w:r>
    </w:p>
    <w:p w14:paraId="34F34E0A" w14:textId="4F73AE2F" w:rsidR="00697F62" w:rsidRPr="006671D5" w:rsidRDefault="00697F62" w:rsidP="00015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71D5">
        <w:rPr>
          <w:rFonts w:ascii="Times New Roman" w:hAnsi="Times New Roman" w:cs="Times New Roman"/>
          <w:sz w:val="28"/>
        </w:rPr>
        <w:t>Риск является таким явлением, которое не несет в себе строго негативные последствия, а также большая часть рисков подлежит управлению посредством применения различных мер, позволяющих его спрогнозировать и уменьшить степень отрицательного влияния. Особенно актуально обеспечивать меры по управлению рисками на сегодняшний день, поскольку стоит отметить, существенность влияния нестабильности в экономике и политике России.</w:t>
      </w:r>
    </w:p>
    <w:p w14:paraId="23EE28A1" w14:textId="5142E29E" w:rsidR="00697F62" w:rsidRPr="006671D5" w:rsidRDefault="00697F62" w:rsidP="00015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71D5">
        <w:rPr>
          <w:rFonts w:ascii="Times New Roman" w:hAnsi="Times New Roman" w:cs="Times New Roman"/>
          <w:sz w:val="28"/>
        </w:rPr>
        <w:t>Для хозяйствующих субъектов по масштабу влияния самыми существенными являются финансовые риски, поскольку они напрямую связаны с финансовыми результатами субъекта. Стоит отметить, что для каждой организации важнейшей целью осуществления деятельности является получение прибыли. Наступление рисковых событий также может и повлечь дополнительные финансовые потери, что также сказывается на финансовом положении компаний.</w:t>
      </w:r>
      <w:r w:rsidR="00EA13BB" w:rsidRPr="006671D5">
        <w:rPr>
          <w:rFonts w:ascii="Times New Roman" w:hAnsi="Times New Roman" w:cs="Times New Roman"/>
          <w:sz w:val="28"/>
        </w:rPr>
        <w:t xml:space="preserve"> Самым большим риском для каждой организации становится риск банкротства, который также является финансовым риском, и предполагает прекращение деятельности вследствие ее нерентабельности.</w:t>
      </w:r>
    </w:p>
    <w:p w14:paraId="0DFCB5C5" w14:textId="24E68860" w:rsidR="00EA13BB" w:rsidRPr="006671D5" w:rsidRDefault="00EA13BB" w:rsidP="00015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71D5">
        <w:rPr>
          <w:rFonts w:ascii="Times New Roman" w:hAnsi="Times New Roman" w:cs="Times New Roman"/>
          <w:sz w:val="28"/>
        </w:rPr>
        <w:t>Процесс управления финансовыми рисками организации является в настоящее время наиболее актуальным для развития хозяйствующих субъектов инструментом, поскольку позволяет не только не допустить наступления тех или иных рисков, а позволяет заблаговременно обеспечить снижение их влияния на результаты деятельности организации. Ведь полностью избавиться от влияния всех финансовых рисков невозможно.</w:t>
      </w:r>
    </w:p>
    <w:p w14:paraId="638F4A8F" w14:textId="5FF97614" w:rsidR="00AA3A65" w:rsidRPr="00070394" w:rsidRDefault="00015F86" w:rsidP="00015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lastRenderedPageBreak/>
        <w:t>Объектом исследования явля</w:t>
      </w:r>
      <w:r w:rsidR="00AA3A65" w:rsidRPr="00070394">
        <w:rPr>
          <w:rFonts w:ascii="Times New Roman" w:hAnsi="Times New Roman" w:cs="Times New Roman"/>
          <w:sz w:val="28"/>
        </w:rPr>
        <w:t>ю</w:t>
      </w:r>
      <w:r w:rsidRPr="00070394">
        <w:rPr>
          <w:rFonts w:ascii="Times New Roman" w:hAnsi="Times New Roman" w:cs="Times New Roman"/>
          <w:sz w:val="28"/>
        </w:rPr>
        <w:t xml:space="preserve">тся </w:t>
      </w:r>
      <w:r w:rsidR="00AA3A65" w:rsidRPr="00070394">
        <w:rPr>
          <w:rFonts w:ascii="Times New Roman" w:hAnsi="Times New Roman" w:cs="Times New Roman"/>
          <w:sz w:val="28"/>
        </w:rPr>
        <w:t>финансовые риски</w:t>
      </w:r>
      <w:r w:rsidR="0004627A" w:rsidRPr="00046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627A" w:rsidRPr="0031487F">
        <w:rPr>
          <w:rFonts w:ascii="Times New Roman" w:eastAsia="Times New Roman" w:hAnsi="Times New Roman" w:cs="Times New Roman"/>
          <w:color w:val="000000"/>
          <w:sz w:val="28"/>
          <w:szCs w:val="28"/>
        </w:rPr>
        <w:t>ПАО «АК «Ю</w:t>
      </w:r>
      <w:r w:rsidR="00C205A8" w:rsidRPr="0031487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4627A" w:rsidRPr="0031487F">
        <w:rPr>
          <w:rFonts w:ascii="Times New Roman" w:eastAsia="Times New Roman" w:hAnsi="Times New Roman" w:cs="Times New Roman"/>
          <w:color w:val="000000"/>
          <w:sz w:val="28"/>
          <w:szCs w:val="28"/>
        </w:rPr>
        <w:t>эйр</w:t>
      </w:r>
      <w:r w:rsidR="00C205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A3A65" w:rsidRPr="00070394">
        <w:rPr>
          <w:rFonts w:ascii="Times New Roman" w:hAnsi="Times New Roman" w:cs="Times New Roman"/>
          <w:sz w:val="28"/>
        </w:rPr>
        <w:t>.</w:t>
      </w:r>
      <w:r w:rsidRPr="00070394">
        <w:rPr>
          <w:rFonts w:ascii="Times New Roman" w:hAnsi="Times New Roman" w:cs="Times New Roman"/>
          <w:sz w:val="28"/>
        </w:rPr>
        <w:t xml:space="preserve"> </w:t>
      </w:r>
    </w:p>
    <w:p w14:paraId="0B2C4930" w14:textId="77777777" w:rsidR="00015F86" w:rsidRPr="00070394" w:rsidRDefault="00015F86" w:rsidP="00015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Предметом исследования являются оценк</w:t>
      </w:r>
      <w:r w:rsidR="00AA3A65" w:rsidRPr="00070394">
        <w:rPr>
          <w:rFonts w:ascii="Times New Roman" w:hAnsi="Times New Roman" w:cs="Times New Roman"/>
          <w:sz w:val="28"/>
        </w:rPr>
        <w:t>а и управление</w:t>
      </w:r>
      <w:r w:rsidRPr="00070394">
        <w:rPr>
          <w:rFonts w:ascii="Times New Roman" w:hAnsi="Times New Roman" w:cs="Times New Roman"/>
          <w:sz w:val="28"/>
        </w:rPr>
        <w:t xml:space="preserve"> финансовы</w:t>
      </w:r>
      <w:r w:rsidR="00AA3A65" w:rsidRPr="00070394">
        <w:rPr>
          <w:rFonts w:ascii="Times New Roman" w:hAnsi="Times New Roman" w:cs="Times New Roman"/>
          <w:sz w:val="28"/>
        </w:rPr>
        <w:t>ми</w:t>
      </w:r>
      <w:r w:rsidRPr="00070394">
        <w:rPr>
          <w:rFonts w:ascii="Times New Roman" w:hAnsi="Times New Roman" w:cs="Times New Roman"/>
          <w:sz w:val="28"/>
        </w:rPr>
        <w:t xml:space="preserve"> риск</w:t>
      </w:r>
      <w:r w:rsidR="00AA3A65" w:rsidRPr="00070394">
        <w:rPr>
          <w:rFonts w:ascii="Times New Roman" w:hAnsi="Times New Roman" w:cs="Times New Roman"/>
          <w:sz w:val="28"/>
        </w:rPr>
        <w:t>ами</w:t>
      </w:r>
      <w:r w:rsidRPr="00070394">
        <w:rPr>
          <w:rFonts w:ascii="Times New Roman" w:hAnsi="Times New Roman" w:cs="Times New Roman"/>
          <w:sz w:val="28"/>
        </w:rPr>
        <w:t xml:space="preserve"> предприятия.</w:t>
      </w:r>
    </w:p>
    <w:p w14:paraId="3D0065DE" w14:textId="3A44C054" w:rsidR="00AA3A65" w:rsidRPr="00070394" w:rsidRDefault="00015F86" w:rsidP="00015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Цель данной выпускной квалификационной работы</w:t>
      </w:r>
      <w:r w:rsidR="00AA3A65" w:rsidRPr="00070394">
        <w:rPr>
          <w:rFonts w:ascii="Times New Roman" w:hAnsi="Times New Roman" w:cs="Times New Roman"/>
          <w:sz w:val="28"/>
        </w:rPr>
        <w:t xml:space="preserve"> заключается в</w:t>
      </w:r>
      <w:r w:rsidRPr="00070394">
        <w:rPr>
          <w:rFonts w:ascii="Times New Roman" w:hAnsi="Times New Roman" w:cs="Times New Roman"/>
          <w:sz w:val="28"/>
        </w:rPr>
        <w:t xml:space="preserve"> оценк</w:t>
      </w:r>
      <w:r w:rsidR="002C729F">
        <w:rPr>
          <w:rFonts w:ascii="Times New Roman" w:hAnsi="Times New Roman" w:cs="Times New Roman"/>
          <w:sz w:val="28"/>
        </w:rPr>
        <w:t xml:space="preserve">е </w:t>
      </w:r>
      <w:r w:rsidRPr="00070394">
        <w:rPr>
          <w:rFonts w:ascii="Times New Roman" w:hAnsi="Times New Roman" w:cs="Times New Roman"/>
          <w:sz w:val="28"/>
        </w:rPr>
        <w:t>финансовых рисков предприятия</w:t>
      </w:r>
      <w:r w:rsidR="00AA3A65" w:rsidRPr="00070394">
        <w:rPr>
          <w:rFonts w:ascii="Times New Roman" w:hAnsi="Times New Roman" w:cs="Times New Roman"/>
          <w:sz w:val="28"/>
        </w:rPr>
        <w:t xml:space="preserve"> и </w:t>
      </w:r>
      <w:r w:rsidRPr="00070394">
        <w:rPr>
          <w:rFonts w:ascii="Times New Roman" w:hAnsi="Times New Roman" w:cs="Times New Roman"/>
          <w:sz w:val="28"/>
        </w:rPr>
        <w:t>разработ</w:t>
      </w:r>
      <w:r w:rsidR="00AA3A65" w:rsidRPr="00070394">
        <w:rPr>
          <w:rFonts w:ascii="Times New Roman" w:hAnsi="Times New Roman" w:cs="Times New Roman"/>
          <w:sz w:val="28"/>
        </w:rPr>
        <w:t>ке</w:t>
      </w:r>
      <w:r w:rsidRPr="00070394">
        <w:rPr>
          <w:rFonts w:ascii="Times New Roman" w:hAnsi="Times New Roman" w:cs="Times New Roman"/>
          <w:sz w:val="28"/>
        </w:rPr>
        <w:t xml:space="preserve"> мероприяти</w:t>
      </w:r>
      <w:r w:rsidR="00AA3A65" w:rsidRPr="00070394">
        <w:rPr>
          <w:rFonts w:ascii="Times New Roman" w:hAnsi="Times New Roman" w:cs="Times New Roman"/>
          <w:sz w:val="28"/>
        </w:rPr>
        <w:t>й</w:t>
      </w:r>
      <w:r w:rsidRPr="00070394">
        <w:rPr>
          <w:rFonts w:ascii="Times New Roman" w:hAnsi="Times New Roman" w:cs="Times New Roman"/>
          <w:sz w:val="28"/>
        </w:rPr>
        <w:t xml:space="preserve"> по управлению финансовыми рисками</w:t>
      </w:r>
      <w:r w:rsidR="0098320B" w:rsidRPr="0098320B">
        <w:rPr>
          <w:rFonts w:ascii="Times New Roman" w:hAnsi="Times New Roman" w:cs="Times New Roman"/>
          <w:sz w:val="28"/>
        </w:rPr>
        <w:t xml:space="preserve"> </w:t>
      </w:r>
      <w:r w:rsidR="0098320B">
        <w:rPr>
          <w:rFonts w:ascii="Times New Roman" w:hAnsi="Times New Roman" w:cs="Times New Roman"/>
          <w:sz w:val="28"/>
        </w:rPr>
        <w:t>для обеспечения экономической безопасности.</w:t>
      </w:r>
      <w:r w:rsidRPr="00070394">
        <w:rPr>
          <w:rFonts w:ascii="Times New Roman" w:hAnsi="Times New Roman" w:cs="Times New Roman"/>
          <w:sz w:val="28"/>
        </w:rPr>
        <w:t xml:space="preserve"> </w:t>
      </w:r>
    </w:p>
    <w:p w14:paraId="5350CEAA" w14:textId="77777777" w:rsidR="00015F86" w:rsidRPr="00070394" w:rsidRDefault="00015F86" w:rsidP="00015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Для раскрытия цели работы необходимо решить задачи:</w:t>
      </w:r>
    </w:p>
    <w:p w14:paraId="5E152181" w14:textId="135A964B" w:rsidR="00AA3A65" w:rsidRPr="0031487F" w:rsidRDefault="00AA3A65" w:rsidP="0031487F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7F">
        <w:rPr>
          <w:rFonts w:ascii="Times New Roman" w:hAnsi="Times New Roman" w:cs="Times New Roman"/>
          <w:sz w:val="28"/>
        </w:rPr>
        <w:t xml:space="preserve">изучить </w:t>
      </w:r>
      <w:r w:rsidRPr="0031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сущность финансовых рисков организации;</w:t>
      </w:r>
    </w:p>
    <w:p w14:paraId="6BB33238" w14:textId="00BF79B3" w:rsidR="00AA3A65" w:rsidRPr="0031487F" w:rsidRDefault="00AA3A65" w:rsidP="0031487F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7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общие принципы управления финансовыми рисками организации;</w:t>
      </w:r>
    </w:p>
    <w:p w14:paraId="549A7ECF" w14:textId="0033C831" w:rsidR="00AA3A65" w:rsidRPr="0031487F" w:rsidRDefault="00AA3A65" w:rsidP="0031487F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оценку финансовых рисков ПАО «АК «ЮТэйр»;</w:t>
      </w:r>
    </w:p>
    <w:p w14:paraId="45FFBDC4" w14:textId="5D93BAFE" w:rsidR="00AA3A65" w:rsidRPr="0031487F" w:rsidRDefault="00AA3A65" w:rsidP="0031487F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применяемые способы управления финансовыми рисками в ПАО «АК «ЮТэйр»;</w:t>
      </w:r>
    </w:p>
    <w:p w14:paraId="7F1FD7A0" w14:textId="07798F26" w:rsidR="00AA3A65" w:rsidRPr="0031487F" w:rsidRDefault="00AA3A65" w:rsidP="0031487F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методы управления финансовыми рисками ПАО «АК «ЮТэйр»;</w:t>
      </w:r>
    </w:p>
    <w:p w14:paraId="03A003A6" w14:textId="5D7563BE" w:rsidR="00176D3A" w:rsidRPr="0031487F" w:rsidRDefault="00AA3A65" w:rsidP="0031487F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экономическое обоснование рекомендаций по управлению финансовыми рисками ПАО «АК «ЮТэйр».</w:t>
      </w:r>
    </w:p>
    <w:p w14:paraId="2CB8A7C9" w14:textId="02E19D7A" w:rsidR="00AA3A65" w:rsidRPr="00070394" w:rsidRDefault="00AA3A65" w:rsidP="00176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94">
        <w:rPr>
          <w:rFonts w:ascii="Times New Roman" w:hAnsi="Times New Roman" w:cs="Times New Roman"/>
          <w:sz w:val="28"/>
        </w:rPr>
        <w:t>В ходе написания работы используются работы отечественных авторов:</w:t>
      </w:r>
      <w:r w:rsidR="00017032" w:rsidRPr="0007039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6212">
        <w:rPr>
          <w:rFonts w:ascii="Times New Roman" w:hAnsi="Times New Roman" w:cs="Times New Roman"/>
          <w:sz w:val="28"/>
        </w:rPr>
        <w:t>Сенчагов</w:t>
      </w:r>
      <w:proofErr w:type="spellEnd"/>
      <w:r w:rsidR="00086212">
        <w:rPr>
          <w:rFonts w:ascii="Times New Roman" w:hAnsi="Times New Roman" w:cs="Times New Roman"/>
          <w:sz w:val="28"/>
        </w:rPr>
        <w:t xml:space="preserve"> В. К., Абалкин</w:t>
      </w:r>
      <w:r w:rsidR="00086212" w:rsidRPr="00086212">
        <w:rPr>
          <w:rFonts w:ascii="Times New Roman" w:hAnsi="Times New Roman" w:cs="Times New Roman"/>
          <w:sz w:val="28"/>
        </w:rPr>
        <w:t xml:space="preserve"> </w:t>
      </w:r>
      <w:r w:rsidR="00EB4DA7">
        <w:rPr>
          <w:rFonts w:ascii="Times New Roman" w:hAnsi="Times New Roman" w:cs="Times New Roman"/>
          <w:sz w:val="28"/>
        </w:rPr>
        <w:t xml:space="preserve">Л. И., </w:t>
      </w:r>
      <w:r w:rsidR="00EB4DA7" w:rsidRPr="00017DA7">
        <w:rPr>
          <w:rFonts w:ascii="Times New Roman" w:hAnsi="Times New Roman" w:cs="Times New Roman"/>
          <w:sz w:val="28"/>
        </w:rPr>
        <w:t>Сильвестрова</w:t>
      </w:r>
      <w:r w:rsidR="00EB4DA7">
        <w:rPr>
          <w:rFonts w:ascii="Times New Roman" w:hAnsi="Times New Roman" w:cs="Times New Roman"/>
          <w:sz w:val="28"/>
        </w:rPr>
        <w:t xml:space="preserve"> С. Н., </w:t>
      </w:r>
      <w:r w:rsidR="00EB4DA7" w:rsidRPr="00493466">
        <w:rPr>
          <w:rFonts w:ascii="Times New Roman" w:hAnsi="Times New Roman" w:cs="Times New Roman"/>
          <w:sz w:val="28"/>
          <w:szCs w:val="28"/>
        </w:rPr>
        <w:t>Сергеев А. А.</w:t>
      </w:r>
      <w:r w:rsidR="00EB4DA7">
        <w:rPr>
          <w:rFonts w:ascii="Times New Roman" w:hAnsi="Times New Roman" w:cs="Times New Roman"/>
          <w:sz w:val="28"/>
          <w:szCs w:val="28"/>
        </w:rPr>
        <w:t>,</w:t>
      </w:r>
      <w:r w:rsidR="00EB4DA7" w:rsidRPr="00493466">
        <w:rPr>
          <w:rFonts w:ascii="Times New Roman" w:hAnsi="Times New Roman" w:cs="Times New Roman"/>
          <w:sz w:val="28"/>
          <w:szCs w:val="28"/>
        </w:rPr>
        <w:t> </w:t>
      </w:r>
      <w:r w:rsidRPr="00070394">
        <w:rPr>
          <w:rFonts w:ascii="Times New Roman" w:hAnsi="Times New Roman" w:cs="Times New Roman"/>
          <w:sz w:val="28"/>
          <w:szCs w:val="28"/>
        </w:rPr>
        <w:t xml:space="preserve">Артамонов Н.А., </w:t>
      </w:r>
      <w:proofErr w:type="spellStart"/>
      <w:r w:rsidRPr="00070394">
        <w:rPr>
          <w:rFonts w:ascii="Times New Roman" w:hAnsi="Times New Roman" w:cs="Times New Roman"/>
          <w:sz w:val="28"/>
          <w:szCs w:val="28"/>
        </w:rPr>
        <w:t>Кургинян</w:t>
      </w:r>
      <w:proofErr w:type="spellEnd"/>
      <w:r w:rsidRPr="00070394">
        <w:rPr>
          <w:rFonts w:ascii="Times New Roman" w:hAnsi="Times New Roman" w:cs="Times New Roman"/>
          <w:sz w:val="28"/>
          <w:szCs w:val="28"/>
        </w:rPr>
        <w:t xml:space="preserve"> Д.Г.</w:t>
      </w:r>
      <w:r w:rsidR="00E06297" w:rsidRPr="00E06297">
        <w:rPr>
          <w:rFonts w:ascii="Times New Roman" w:hAnsi="Times New Roman" w:cs="Times New Roman"/>
          <w:sz w:val="28"/>
        </w:rPr>
        <w:t xml:space="preserve"> </w:t>
      </w:r>
      <w:r w:rsidRPr="00070394">
        <w:rPr>
          <w:rFonts w:ascii="Times New Roman" w:hAnsi="Times New Roman" w:cs="Times New Roman"/>
          <w:sz w:val="28"/>
          <w:szCs w:val="28"/>
        </w:rPr>
        <w:t xml:space="preserve">Бабаев Т. В., Гасанова А. Г., </w:t>
      </w:r>
      <w:proofErr w:type="spellStart"/>
      <w:r w:rsidRPr="00070394">
        <w:rPr>
          <w:rFonts w:ascii="Times New Roman" w:hAnsi="Times New Roman" w:cs="Times New Roman"/>
          <w:sz w:val="28"/>
          <w:szCs w:val="28"/>
        </w:rPr>
        <w:t>Рябичева</w:t>
      </w:r>
      <w:proofErr w:type="spellEnd"/>
      <w:r w:rsidRPr="00070394">
        <w:rPr>
          <w:rFonts w:ascii="Times New Roman" w:hAnsi="Times New Roman" w:cs="Times New Roman"/>
          <w:sz w:val="28"/>
          <w:szCs w:val="28"/>
        </w:rPr>
        <w:t xml:space="preserve"> О. И.</w:t>
      </w:r>
      <w:r w:rsidR="00017032" w:rsidRPr="00070394">
        <w:rPr>
          <w:rFonts w:ascii="Times New Roman" w:hAnsi="Times New Roman" w:cs="Times New Roman"/>
          <w:sz w:val="28"/>
          <w:szCs w:val="28"/>
        </w:rPr>
        <w:t xml:space="preserve">, </w:t>
      </w:r>
      <w:r w:rsidR="00EB4DA7">
        <w:rPr>
          <w:rFonts w:ascii="Times New Roman" w:hAnsi="Times New Roman" w:cs="Times New Roman"/>
          <w:sz w:val="28"/>
          <w:szCs w:val="28"/>
        </w:rPr>
        <w:t>Генералова А.А., Кочергин Н.В.</w:t>
      </w:r>
      <w:r w:rsidR="00017032" w:rsidRPr="00070394">
        <w:rPr>
          <w:rFonts w:ascii="Times New Roman" w:hAnsi="Times New Roman" w:cs="Times New Roman"/>
          <w:sz w:val="28"/>
          <w:szCs w:val="28"/>
        </w:rPr>
        <w:t xml:space="preserve">, Грачев А. О., </w:t>
      </w:r>
      <w:proofErr w:type="spellStart"/>
      <w:r w:rsidR="00017032" w:rsidRPr="00070394">
        <w:rPr>
          <w:rFonts w:ascii="Times New Roman" w:hAnsi="Times New Roman" w:cs="Times New Roman"/>
          <w:sz w:val="28"/>
          <w:szCs w:val="28"/>
        </w:rPr>
        <w:t>Кривенда</w:t>
      </w:r>
      <w:proofErr w:type="spellEnd"/>
      <w:r w:rsidR="00017032" w:rsidRPr="00070394">
        <w:rPr>
          <w:rFonts w:ascii="Times New Roman" w:hAnsi="Times New Roman" w:cs="Times New Roman"/>
          <w:sz w:val="28"/>
          <w:szCs w:val="28"/>
        </w:rPr>
        <w:t xml:space="preserve"> Е. А., Матура А. В., </w:t>
      </w:r>
      <w:proofErr w:type="spellStart"/>
      <w:r w:rsidR="00017032" w:rsidRPr="00070394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 w:rsidR="00017032" w:rsidRPr="00070394">
        <w:rPr>
          <w:rFonts w:ascii="Times New Roman" w:hAnsi="Times New Roman" w:cs="Times New Roman"/>
          <w:sz w:val="28"/>
          <w:szCs w:val="28"/>
        </w:rPr>
        <w:t xml:space="preserve"> Н. В., Улыбина Л. К., Ягудин Р. М. и др. Также были использованы стандарты в области управления рисками, такие как:</w:t>
      </w:r>
      <w:r w:rsidR="00017032" w:rsidRPr="00070394">
        <w:rPr>
          <w:sz w:val="28"/>
          <w:szCs w:val="28"/>
        </w:rPr>
        <w:t xml:space="preserve"> </w:t>
      </w:r>
      <w:r w:rsidR="00017032" w:rsidRPr="00070394">
        <w:rPr>
          <w:rFonts w:ascii="Times New Roman" w:hAnsi="Times New Roman" w:cs="Times New Roman"/>
          <w:sz w:val="28"/>
          <w:szCs w:val="28"/>
        </w:rPr>
        <w:t xml:space="preserve">Национальный стандарт РФ Менеджмент риска. Термины и определения от 01.03.2022 </w:t>
      </w:r>
      <w:r w:rsidR="00017032" w:rsidRPr="00070394">
        <w:rPr>
          <w:rFonts w:ascii="Times New Roman" w:hAnsi="Times New Roman" w:cs="Times New Roman"/>
          <w:sz w:val="28"/>
          <w:szCs w:val="28"/>
          <w:shd w:val="clear" w:color="auto" w:fill="FFFFFF"/>
        </w:rPr>
        <w:t>ГОСТ Р 51897-2021,</w:t>
      </w:r>
      <w:r w:rsidR="00017032" w:rsidRPr="00070394">
        <w:rPr>
          <w:rFonts w:ascii="Times New Roman" w:hAnsi="Times New Roman" w:cs="Times New Roman"/>
          <w:sz w:val="28"/>
          <w:szCs w:val="28"/>
        </w:rPr>
        <w:t xml:space="preserve"> Национальный стандарт РФ Риск-менеджмент - Принципы и руководства от 01.03.2020</w:t>
      </w:r>
      <w:r w:rsidR="00017032" w:rsidRPr="00070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 Р ИСО 31000-2019, Стандарты управления рисками. </w:t>
      </w:r>
      <w:r w:rsidR="00017032" w:rsidRPr="00070394">
        <w:rPr>
          <w:rFonts w:ascii="Times New Roman" w:hAnsi="Times New Roman" w:cs="Times New Roman"/>
          <w:sz w:val="28"/>
          <w:szCs w:val="28"/>
        </w:rPr>
        <w:t>Федерация европейских ассоциаций риск-менеджеров.</w:t>
      </w:r>
    </w:p>
    <w:p w14:paraId="43099180" w14:textId="77777777" w:rsidR="00AA3A65" w:rsidRPr="00070394" w:rsidRDefault="00AA3A65" w:rsidP="00AA3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94">
        <w:rPr>
          <w:rFonts w:ascii="Times New Roman" w:hAnsi="Times New Roman" w:cs="Times New Roman"/>
          <w:sz w:val="28"/>
        </w:rPr>
        <w:lastRenderedPageBreak/>
        <w:t>Информационной базой выпускной квалификационной работы являются бухгалтерская отчетность</w:t>
      </w:r>
      <w:r w:rsidRPr="00070394">
        <w:rPr>
          <w:sz w:val="28"/>
        </w:rPr>
        <w:t xml:space="preserve"> </w:t>
      </w:r>
      <w:r w:rsidRPr="00070394">
        <w:rPr>
          <w:rFonts w:ascii="Times New Roman" w:eastAsia="Times New Roman" w:hAnsi="Times New Roman" w:cs="Times New Roman"/>
          <w:color w:val="000000"/>
          <w:sz w:val="28"/>
          <w:szCs w:val="28"/>
        </w:rPr>
        <w:t>ПАО «АК «ЮТэйр» г. Тюмень, а также внутренние локальные акты предприятия в области финансов.</w:t>
      </w:r>
    </w:p>
    <w:p w14:paraId="611FC047" w14:textId="77777777" w:rsidR="00015F86" w:rsidRPr="00070394" w:rsidRDefault="00AA3A65" w:rsidP="00AA3A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70394">
        <w:rPr>
          <w:rFonts w:ascii="Times New Roman" w:hAnsi="Times New Roman" w:cs="Times New Roman"/>
          <w:color w:val="000000" w:themeColor="text1"/>
          <w:sz w:val="28"/>
        </w:rPr>
        <w:t>Структура выпускной квалификационной работы состоит из введения, трех глав, заключения, библиографического списка и приложений.</w:t>
      </w:r>
    </w:p>
    <w:p w14:paraId="1A204966" w14:textId="77777777" w:rsidR="00AA3A65" w:rsidRPr="00070394" w:rsidRDefault="00AA3A65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AC8D38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27BE7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482F99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56E2F7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4DE43D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39CF13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CA00B8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8A4D37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C0FD90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CC5B32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D37DDB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01B98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7F524F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859476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9D650F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3AC365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66D674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3DF509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EE2C64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9D52A" w14:textId="77777777" w:rsidR="00017032" w:rsidRPr="00070394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3881F" w14:textId="1754D70C" w:rsidR="00017032" w:rsidRDefault="00017032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CA9C56" w14:textId="77777777" w:rsidR="00EB4DA7" w:rsidRPr="00070394" w:rsidRDefault="00EB4DA7" w:rsidP="00015F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40849F" w14:textId="77777777" w:rsidR="00176D3A" w:rsidRPr="00070394" w:rsidRDefault="00176D3A" w:rsidP="00EB6B4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2CB4F0" w14:textId="77777777" w:rsidR="009E6669" w:rsidRPr="00070394" w:rsidRDefault="00520C09" w:rsidP="009E66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ТЕОРЕТИЧЕСКИЕ АСПЕКТЫ ИССЛЕДОВАНИЯ ФИНАНСОВЫХ РИСКОВ ОРГАНИЗАЦИИ </w:t>
      </w:r>
    </w:p>
    <w:p w14:paraId="42260140" w14:textId="77777777" w:rsidR="00520C09" w:rsidRPr="00070394" w:rsidRDefault="00520C09" w:rsidP="009E66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0AD894" w14:textId="77777777" w:rsidR="009E6669" w:rsidRPr="00070394" w:rsidRDefault="00520C09" w:rsidP="009E66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94"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ПОНЯТИЕ И СУЩНОСТЬ ФИНАНСОВЫХ РИСКОВ ОРГАНИЗАЦИИ</w:t>
      </w:r>
    </w:p>
    <w:p w14:paraId="062387ED" w14:textId="77777777" w:rsidR="009E6669" w:rsidRPr="00070394" w:rsidRDefault="009E6669" w:rsidP="009E6669"/>
    <w:p w14:paraId="1C2240A1" w14:textId="77777777" w:rsidR="009E6669" w:rsidRPr="00070394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Главной целью существования каждого хозяйствующего субъекта является получение прибыли. Основным условием для достижения этой цели является работа субъекта по снижению и нейтрализации рисков организации.</w:t>
      </w:r>
    </w:p>
    <w:p w14:paraId="6916166F" w14:textId="1FB1B55D" w:rsidR="009E6669" w:rsidRPr="00070394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 xml:space="preserve">Риск – это определенный вид опасности, который возникает в виде неожиданных потерь (убытков), в связи с непредвиденными изменениями условий в экономики, при ожидании получить доход от деятельности организации </w:t>
      </w:r>
      <w:r w:rsidRPr="00086212">
        <w:rPr>
          <w:rFonts w:ascii="Times New Roman" w:hAnsi="Times New Roman" w:cs="Times New Roman"/>
          <w:sz w:val="28"/>
        </w:rPr>
        <w:t>[</w:t>
      </w:r>
      <w:r w:rsidR="00086212" w:rsidRPr="00086212">
        <w:rPr>
          <w:rFonts w:ascii="Times New Roman" w:hAnsi="Times New Roman" w:cs="Times New Roman"/>
          <w:sz w:val="28"/>
        </w:rPr>
        <w:t>36</w:t>
      </w:r>
      <w:r w:rsidR="00B37CBE" w:rsidRPr="00086212">
        <w:rPr>
          <w:rFonts w:ascii="Times New Roman" w:hAnsi="Times New Roman" w:cs="Times New Roman"/>
          <w:sz w:val="28"/>
        </w:rPr>
        <w:t xml:space="preserve">, с. </w:t>
      </w:r>
      <w:r w:rsidR="00086212" w:rsidRPr="00086212">
        <w:rPr>
          <w:rFonts w:ascii="Times New Roman" w:hAnsi="Times New Roman" w:cs="Times New Roman"/>
          <w:sz w:val="28"/>
        </w:rPr>
        <w:t>229</w:t>
      </w:r>
      <w:r w:rsidRPr="00086212">
        <w:rPr>
          <w:rFonts w:ascii="Times New Roman" w:hAnsi="Times New Roman" w:cs="Times New Roman"/>
          <w:sz w:val="28"/>
        </w:rPr>
        <w:t>].</w:t>
      </w:r>
      <w:r w:rsidRPr="00070394">
        <w:rPr>
          <w:rFonts w:ascii="Times New Roman" w:hAnsi="Times New Roman" w:cs="Times New Roman"/>
          <w:sz w:val="28"/>
        </w:rPr>
        <w:t xml:space="preserve"> </w:t>
      </w:r>
    </w:p>
    <w:p w14:paraId="5CCD150D" w14:textId="63517003" w:rsidR="00A9005B" w:rsidRPr="00070394" w:rsidRDefault="00DE7FEA" w:rsidP="0008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В. Матура в своем исследовании вопросов</w:t>
      </w:r>
      <w:r w:rsidR="009E6669" w:rsidRPr="00070394">
        <w:rPr>
          <w:rFonts w:ascii="Times New Roman" w:hAnsi="Times New Roman" w:cs="Times New Roman"/>
          <w:sz w:val="28"/>
        </w:rPr>
        <w:t xml:space="preserve"> экономической безопасности под риском </w:t>
      </w:r>
      <w:r>
        <w:rPr>
          <w:rFonts w:ascii="Times New Roman" w:hAnsi="Times New Roman" w:cs="Times New Roman"/>
          <w:sz w:val="28"/>
        </w:rPr>
        <w:t>отмечает</w:t>
      </w:r>
      <w:r w:rsidR="009E6669" w:rsidRPr="000703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9E6669" w:rsidRPr="00070394">
        <w:rPr>
          <w:rFonts w:ascii="Times New Roman" w:hAnsi="Times New Roman" w:cs="Times New Roman"/>
          <w:sz w:val="28"/>
        </w:rPr>
        <w:t>события материального и финансового ущерба при реализации различных видов угроз опасности, которые носят вероятный характер, а также потенциально возможные неблагоприятные события, в результате которых могут возникнуть убытки и имущественный ущерб</w:t>
      </w:r>
      <w:r>
        <w:rPr>
          <w:rFonts w:ascii="Times New Roman" w:hAnsi="Times New Roman" w:cs="Times New Roman"/>
          <w:sz w:val="28"/>
        </w:rPr>
        <w:t>»</w:t>
      </w:r>
      <w:r w:rsidR="009E6669" w:rsidRPr="00070394">
        <w:rPr>
          <w:rFonts w:ascii="Times New Roman" w:hAnsi="Times New Roman" w:cs="Times New Roman"/>
          <w:sz w:val="28"/>
        </w:rPr>
        <w:t xml:space="preserve"> [</w:t>
      </w:r>
      <w:r w:rsidR="00086212">
        <w:rPr>
          <w:rFonts w:ascii="Times New Roman" w:hAnsi="Times New Roman" w:cs="Times New Roman"/>
          <w:sz w:val="28"/>
        </w:rPr>
        <w:t>22</w:t>
      </w:r>
      <w:r w:rsidR="00B37CBE" w:rsidRPr="00070394">
        <w:rPr>
          <w:rFonts w:ascii="Times New Roman" w:hAnsi="Times New Roman" w:cs="Times New Roman"/>
          <w:sz w:val="28"/>
        </w:rPr>
        <w:t>, с. 479</w:t>
      </w:r>
      <w:r w:rsidR="009E6669" w:rsidRPr="00070394">
        <w:rPr>
          <w:rFonts w:ascii="Times New Roman" w:hAnsi="Times New Roman" w:cs="Times New Roman"/>
          <w:sz w:val="28"/>
        </w:rPr>
        <w:t>].</w:t>
      </w:r>
      <w:r w:rsidR="00A9005B">
        <w:rPr>
          <w:rFonts w:ascii="Times New Roman" w:hAnsi="Times New Roman" w:cs="Times New Roman"/>
          <w:sz w:val="28"/>
        </w:rPr>
        <w:t xml:space="preserve"> </w:t>
      </w:r>
    </w:p>
    <w:p w14:paraId="14443B34" w14:textId="77777777" w:rsidR="009E6669" w:rsidRPr="00070394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По сфере возникновения риски в предпринимательской сфере подразделяют на финансовые, коммерческие, производственные и риски страхования.</w:t>
      </w:r>
    </w:p>
    <w:p w14:paraId="189FEE1E" w14:textId="77777777" w:rsidR="009E6669" w:rsidRPr="00070394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В рамках данного исследования подробно будет изучен только финансовый риск.</w:t>
      </w:r>
    </w:p>
    <w:p w14:paraId="4A7EBF87" w14:textId="010C4E2A" w:rsidR="009E6669" w:rsidRPr="00070394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По мнению Л. К. Улыбиной, под финансовыми рисками организации принято понимать вероятность наступления непредвиденных обстоятельств, которые несут финансовые потери при неопределенных условиях финансовой деятельности организации [</w:t>
      </w:r>
      <w:r w:rsidR="00086212">
        <w:rPr>
          <w:rFonts w:ascii="Times New Roman" w:hAnsi="Times New Roman" w:cs="Times New Roman"/>
          <w:sz w:val="28"/>
        </w:rPr>
        <w:t>36</w:t>
      </w:r>
      <w:r w:rsidR="00B37CBE" w:rsidRPr="00070394">
        <w:rPr>
          <w:rFonts w:ascii="Times New Roman" w:hAnsi="Times New Roman" w:cs="Times New Roman"/>
          <w:sz w:val="28"/>
        </w:rPr>
        <w:t xml:space="preserve">, с. </w:t>
      </w:r>
      <w:r w:rsidR="00086212">
        <w:rPr>
          <w:rFonts w:ascii="Times New Roman" w:hAnsi="Times New Roman" w:cs="Times New Roman"/>
          <w:sz w:val="28"/>
        </w:rPr>
        <w:t>229</w:t>
      </w:r>
      <w:r w:rsidRPr="00070394">
        <w:rPr>
          <w:rFonts w:ascii="Times New Roman" w:hAnsi="Times New Roman" w:cs="Times New Roman"/>
          <w:sz w:val="28"/>
        </w:rPr>
        <w:t>].</w:t>
      </w:r>
      <w:r w:rsidR="00A9005B">
        <w:rPr>
          <w:rFonts w:ascii="Times New Roman" w:hAnsi="Times New Roman" w:cs="Times New Roman"/>
          <w:sz w:val="28"/>
        </w:rPr>
        <w:t xml:space="preserve"> </w:t>
      </w:r>
    </w:p>
    <w:p w14:paraId="7B867495" w14:textId="1A4101D7" w:rsidR="009E6669" w:rsidRPr="00070394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 xml:space="preserve">Н. В. </w:t>
      </w:r>
      <w:proofErr w:type="spellStart"/>
      <w:r w:rsidRPr="00070394">
        <w:rPr>
          <w:rFonts w:ascii="Times New Roman" w:hAnsi="Times New Roman" w:cs="Times New Roman"/>
          <w:sz w:val="28"/>
        </w:rPr>
        <w:t>Рознина</w:t>
      </w:r>
      <w:proofErr w:type="spellEnd"/>
      <w:r w:rsidRPr="00070394">
        <w:rPr>
          <w:rFonts w:ascii="Times New Roman" w:hAnsi="Times New Roman" w:cs="Times New Roman"/>
          <w:sz w:val="28"/>
        </w:rPr>
        <w:t xml:space="preserve"> указывает, что </w:t>
      </w:r>
      <w:r w:rsidR="00DE7FEA">
        <w:rPr>
          <w:rFonts w:ascii="Times New Roman" w:hAnsi="Times New Roman" w:cs="Times New Roman"/>
          <w:sz w:val="28"/>
        </w:rPr>
        <w:t>«</w:t>
      </w:r>
      <w:r w:rsidRPr="00070394">
        <w:rPr>
          <w:rFonts w:ascii="Times New Roman" w:hAnsi="Times New Roman" w:cs="Times New Roman"/>
          <w:sz w:val="28"/>
        </w:rPr>
        <w:t xml:space="preserve">под финансовыми рисками организации понимается вероятность возникновения непредвиденных финансовых потерь (сокращение чистой прибыли, выручки, капитала) в ситуации </w:t>
      </w:r>
      <w:r w:rsidRPr="00070394">
        <w:rPr>
          <w:rFonts w:ascii="Times New Roman" w:hAnsi="Times New Roman" w:cs="Times New Roman"/>
          <w:sz w:val="28"/>
        </w:rPr>
        <w:lastRenderedPageBreak/>
        <w:t>неопределенности условий её финансовой деятельности. Финансовые риски организаций связаны с вероятностью потерь финансовых ресурсов</w:t>
      </w:r>
      <w:r w:rsidR="00DE7FEA">
        <w:rPr>
          <w:rFonts w:ascii="Times New Roman" w:hAnsi="Times New Roman" w:cs="Times New Roman"/>
          <w:sz w:val="28"/>
        </w:rPr>
        <w:t>»</w:t>
      </w:r>
      <w:r w:rsidRPr="00070394">
        <w:rPr>
          <w:rFonts w:ascii="Times New Roman" w:hAnsi="Times New Roman" w:cs="Times New Roman"/>
          <w:sz w:val="28"/>
        </w:rPr>
        <w:t xml:space="preserve"> [</w:t>
      </w:r>
      <w:r w:rsidR="00086212">
        <w:rPr>
          <w:rFonts w:ascii="Times New Roman" w:hAnsi="Times New Roman" w:cs="Times New Roman"/>
          <w:sz w:val="28"/>
        </w:rPr>
        <w:t>30</w:t>
      </w:r>
      <w:r w:rsidR="00B37CBE" w:rsidRPr="00070394">
        <w:rPr>
          <w:rFonts w:ascii="Times New Roman" w:hAnsi="Times New Roman" w:cs="Times New Roman"/>
          <w:sz w:val="28"/>
        </w:rPr>
        <w:t>, с. 169</w:t>
      </w:r>
      <w:r w:rsidRPr="00070394">
        <w:rPr>
          <w:rFonts w:ascii="Times New Roman" w:hAnsi="Times New Roman" w:cs="Times New Roman"/>
          <w:sz w:val="28"/>
        </w:rPr>
        <w:t>].</w:t>
      </w:r>
      <w:r w:rsidR="00A9005B">
        <w:rPr>
          <w:rFonts w:ascii="Times New Roman" w:hAnsi="Times New Roman" w:cs="Times New Roman"/>
          <w:sz w:val="28"/>
        </w:rPr>
        <w:t xml:space="preserve"> </w:t>
      </w:r>
    </w:p>
    <w:p w14:paraId="70337076" w14:textId="30073671" w:rsidR="009E6669" w:rsidRPr="00070394" w:rsidRDefault="009E6669" w:rsidP="0008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 xml:space="preserve">По мнению А. О. Грачева </w:t>
      </w:r>
      <w:r w:rsidR="00DE7FEA">
        <w:rPr>
          <w:rFonts w:ascii="Times New Roman" w:hAnsi="Times New Roman" w:cs="Times New Roman"/>
          <w:sz w:val="28"/>
        </w:rPr>
        <w:t>«</w:t>
      </w:r>
      <w:r w:rsidRPr="00070394">
        <w:rPr>
          <w:rFonts w:ascii="Times New Roman" w:hAnsi="Times New Roman" w:cs="Times New Roman"/>
          <w:sz w:val="28"/>
        </w:rPr>
        <w:t>под финансовым риском хозяйствующего субъекта подразумевают результат принятия альтернативного финансового решения руководством компании с целью достижения ожидаемого результата её финансовой деятельности при возможности финансовых потерь в условиях неопределённости</w:t>
      </w:r>
      <w:r w:rsidR="00DE7FEA">
        <w:rPr>
          <w:rFonts w:ascii="Times New Roman" w:hAnsi="Times New Roman" w:cs="Times New Roman"/>
          <w:sz w:val="28"/>
        </w:rPr>
        <w:t>»</w:t>
      </w:r>
      <w:r w:rsidRPr="00070394">
        <w:rPr>
          <w:rFonts w:ascii="Times New Roman" w:hAnsi="Times New Roman" w:cs="Times New Roman"/>
          <w:sz w:val="28"/>
        </w:rPr>
        <w:t xml:space="preserve"> [</w:t>
      </w:r>
      <w:r w:rsidR="00086212">
        <w:rPr>
          <w:rFonts w:ascii="Times New Roman" w:hAnsi="Times New Roman" w:cs="Times New Roman"/>
          <w:sz w:val="28"/>
        </w:rPr>
        <w:t>13</w:t>
      </w:r>
      <w:r w:rsidR="00B37CBE" w:rsidRPr="00070394">
        <w:rPr>
          <w:rFonts w:ascii="Times New Roman" w:hAnsi="Times New Roman" w:cs="Times New Roman"/>
          <w:sz w:val="28"/>
        </w:rPr>
        <w:t>, с.2</w:t>
      </w:r>
      <w:r w:rsidRPr="00070394">
        <w:rPr>
          <w:rFonts w:ascii="Times New Roman" w:hAnsi="Times New Roman" w:cs="Times New Roman"/>
          <w:sz w:val="28"/>
        </w:rPr>
        <w:t>].</w:t>
      </w:r>
      <w:r w:rsidR="00A9005B">
        <w:rPr>
          <w:rFonts w:ascii="Times New Roman" w:hAnsi="Times New Roman" w:cs="Times New Roman"/>
          <w:sz w:val="28"/>
        </w:rPr>
        <w:t xml:space="preserve"> </w:t>
      </w:r>
    </w:p>
    <w:p w14:paraId="006E5449" w14:textId="140CB43B" w:rsidR="009E6669" w:rsidRPr="00070394" w:rsidRDefault="009E6669" w:rsidP="0008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 xml:space="preserve">Финансовый риск — </w:t>
      </w:r>
      <w:r w:rsidR="00DE7FEA">
        <w:rPr>
          <w:rFonts w:ascii="Times New Roman" w:hAnsi="Times New Roman" w:cs="Times New Roman"/>
          <w:sz w:val="28"/>
        </w:rPr>
        <w:t>«</w:t>
      </w:r>
      <w:r w:rsidRPr="00070394">
        <w:rPr>
          <w:rFonts w:ascii="Times New Roman" w:hAnsi="Times New Roman" w:cs="Times New Roman"/>
          <w:sz w:val="28"/>
        </w:rPr>
        <w:t>риск потери финансовых ресурсов предприятия или будущих доходов, вызванный угрозами в процессе ведения финансовой деятельности в связи с неопределенностью условий ее осуществления</w:t>
      </w:r>
      <w:r w:rsidR="00DE7FEA">
        <w:rPr>
          <w:rFonts w:ascii="Times New Roman" w:hAnsi="Times New Roman" w:cs="Times New Roman"/>
          <w:sz w:val="28"/>
        </w:rPr>
        <w:t>»</w:t>
      </w:r>
      <w:r w:rsidRPr="00070394">
        <w:rPr>
          <w:rFonts w:ascii="Times New Roman" w:hAnsi="Times New Roman" w:cs="Times New Roman"/>
          <w:sz w:val="28"/>
        </w:rPr>
        <w:t xml:space="preserve"> [</w:t>
      </w:r>
      <w:r w:rsidR="00086212">
        <w:rPr>
          <w:rFonts w:ascii="Times New Roman" w:hAnsi="Times New Roman" w:cs="Times New Roman"/>
          <w:sz w:val="28"/>
        </w:rPr>
        <w:t>22</w:t>
      </w:r>
      <w:r w:rsidR="00B37CBE" w:rsidRPr="00070394">
        <w:rPr>
          <w:rFonts w:ascii="Times New Roman" w:hAnsi="Times New Roman" w:cs="Times New Roman"/>
          <w:sz w:val="28"/>
        </w:rPr>
        <w:t xml:space="preserve"> с. 479</w:t>
      </w:r>
      <w:r w:rsidRPr="00070394">
        <w:rPr>
          <w:rFonts w:ascii="Times New Roman" w:hAnsi="Times New Roman" w:cs="Times New Roman"/>
          <w:sz w:val="28"/>
        </w:rPr>
        <w:t>].</w:t>
      </w:r>
      <w:r w:rsidR="00A9005B">
        <w:rPr>
          <w:rFonts w:ascii="Times New Roman" w:hAnsi="Times New Roman" w:cs="Times New Roman"/>
          <w:sz w:val="28"/>
        </w:rPr>
        <w:t xml:space="preserve"> </w:t>
      </w:r>
    </w:p>
    <w:p w14:paraId="23A419E9" w14:textId="77777777" w:rsidR="009E6669" w:rsidRPr="00070394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Таким образом, указанные выше определения объединяет возможность финансовых потерь в будущем для организации и наличие состояния неопределенности, что позволяет сформулировать следующее определение:</w:t>
      </w:r>
    </w:p>
    <w:p w14:paraId="6982CB9F" w14:textId="77777777" w:rsidR="009E6669" w:rsidRPr="00070394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Финансовый риск – это состояние неопределенности для организации, которое предполагает возникновение финансовых потерь и которое требует принятие грамотного управленческого решения для его минимизации.</w:t>
      </w:r>
    </w:p>
    <w:p w14:paraId="59CA7F25" w14:textId="134153A9" w:rsidR="00DF2773" w:rsidRPr="00070394" w:rsidRDefault="00DF2773" w:rsidP="00DF2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 xml:space="preserve">На сегодняшний день представлено большое количество мнений о различных классификациях финансовых рисков. Например, Е. А. </w:t>
      </w:r>
      <w:proofErr w:type="spellStart"/>
      <w:r w:rsidRPr="00070394">
        <w:rPr>
          <w:rFonts w:ascii="Times New Roman" w:hAnsi="Times New Roman" w:cs="Times New Roman"/>
          <w:sz w:val="28"/>
        </w:rPr>
        <w:t>Кривенда</w:t>
      </w:r>
      <w:proofErr w:type="spellEnd"/>
      <w:r w:rsidRPr="00070394">
        <w:rPr>
          <w:rFonts w:ascii="Times New Roman" w:hAnsi="Times New Roman" w:cs="Times New Roman"/>
          <w:sz w:val="28"/>
        </w:rPr>
        <w:t xml:space="preserve"> выделяет в отдельную категорию финансовых рисков такой риск, как криминогенный риск, который возникает в том случае, если организация ведет свой бизнес с нарушением законодательства государства, в котором находиться. Среди других авторов в рамках исследования такой риск не выделяется как вид финансового риска [</w:t>
      </w:r>
      <w:r w:rsidR="00086212">
        <w:rPr>
          <w:rFonts w:ascii="Times New Roman" w:hAnsi="Times New Roman" w:cs="Times New Roman"/>
          <w:sz w:val="28"/>
        </w:rPr>
        <w:t>1</w:t>
      </w:r>
      <w:r w:rsidRPr="00070394">
        <w:rPr>
          <w:rFonts w:ascii="Times New Roman" w:hAnsi="Times New Roman" w:cs="Times New Roman"/>
          <w:sz w:val="28"/>
        </w:rPr>
        <w:t xml:space="preserve">9]. </w:t>
      </w:r>
    </w:p>
    <w:p w14:paraId="487C91A5" w14:textId="0F0FAB31" w:rsidR="00DF2773" w:rsidRPr="00070394" w:rsidRDefault="00DF2773" w:rsidP="00DF2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 xml:space="preserve">В рамках своего исследования </w:t>
      </w:r>
      <w:r w:rsidRPr="00070394">
        <w:rPr>
          <w:rFonts w:ascii="Times New Roman" w:hAnsi="Times New Roman" w:cs="Times New Roman"/>
          <w:sz w:val="28"/>
          <w:szCs w:val="28"/>
        </w:rPr>
        <w:t>А.М. Коротков, И. А.</w:t>
      </w:r>
      <w:r w:rsidRPr="00070394">
        <w:rPr>
          <w:rFonts w:ascii="Times New Roman" w:hAnsi="Times New Roman" w:cs="Times New Roman"/>
          <w:sz w:val="28"/>
        </w:rPr>
        <w:t xml:space="preserve"> </w:t>
      </w:r>
      <w:r w:rsidRPr="00070394">
        <w:rPr>
          <w:rFonts w:ascii="Times New Roman" w:hAnsi="Times New Roman" w:cs="Times New Roman"/>
          <w:sz w:val="28"/>
          <w:szCs w:val="28"/>
        </w:rPr>
        <w:t xml:space="preserve">Сергеева выделяет структурные финансовые риски, которые возникают вследствие структурных изменений в организации </w:t>
      </w:r>
      <w:r w:rsidRPr="00070394">
        <w:rPr>
          <w:rFonts w:ascii="Times New Roman" w:hAnsi="Times New Roman" w:cs="Times New Roman"/>
          <w:sz w:val="28"/>
        </w:rPr>
        <w:t>[</w:t>
      </w:r>
      <w:r w:rsidR="00086212">
        <w:rPr>
          <w:rFonts w:ascii="Times New Roman" w:hAnsi="Times New Roman" w:cs="Times New Roman"/>
          <w:sz w:val="28"/>
        </w:rPr>
        <w:t>17</w:t>
      </w:r>
      <w:r w:rsidRPr="00070394">
        <w:rPr>
          <w:rFonts w:ascii="Times New Roman" w:hAnsi="Times New Roman" w:cs="Times New Roman"/>
          <w:sz w:val="28"/>
        </w:rPr>
        <w:t>].</w:t>
      </w:r>
    </w:p>
    <w:p w14:paraId="6DEC53A9" w14:textId="77777777" w:rsidR="00DF2773" w:rsidRPr="00070394" w:rsidRDefault="005A72B4" w:rsidP="00DF2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 xml:space="preserve">В остальном все </w:t>
      </w:r>
      <w:r w:rsidR="00827CCA" w:rsidRPr="00070394">
        <w:rPr>
          <w:rFonts w:ascii="Times New Roman" w:hAnsi="Times New Roman" w:cs="Times New Roman"/>
          <w:sz w:val="28"/>
        </w:rPr>
        <w:t>исследуемые авторы высказывают единое мнение о видах классификации финансовых рисков организации.</w:t>
      </w:r>
    </w:p>
    <w:p w14:paraId="35B809B9" w14:textId="77777777" w:rsidR="006671D5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lastRenderedPageBreak/>
        <w:t>В обобщенном виде классификация рисков представлена на рисунке 1.</w:t>
      </w:r>
      <w:r w:rsidR="00C22CD7" w:rsidRPr="00070394">
        <w:rPr>
          <w:rFonts w:ascii="Times New Roman" w:hAnsi="Times New Roman" w:cs="Times New Roman"/>
          <w:sz w:val="28"/>
        </w:rPr>
        <w:t>1.</w:t>
      </w:r>
    </w:p>
    <w:p w14:paraId="1E5269BE" w14:textId="30F1578A" w:rsidR="009E6669" w:rsidRPr="00070394" w:rsidRDefault="009E6669" w:rsidP="009E6669">
      <w:pPr>
        <w:spacing w:after="0" w:line="360" w:lineRule="auto"/>
        <w:ind w:firstLine="709"/>
        <w:jc w:val="both"/>
        <w:rPr>
          <w:noProof/>
        </w:rPr>
      </w:pPr>
      <w:r w:rsidRPr="00070394">
        <w:rPr>
          <w:noProof/>
        </w:rPr>
        <w:t xml:space="preserve"> </w:t>
      </w:r>
    </w:p>
    <w:p w14:paraId="5AAF4E80" w14:textId="77777777" w:rsidR="009E6669" w:rsidRPr="00070394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noProof/>
        </w:rPr>
        <w:drawing>
          <wp:inline distT="0" distB="0" distL="0" distR="0" wp14:anchorId="28677F5F" wp14:editId="258E2113">
            <wp:extent cx="5954395" cy="4280275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9962" cy="429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7259" w14:textId="7BFAAF52" w:rsidR="009E6669" w:rsidRDefault="009E6669" w:rsidP="009E66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 xml:space="preserve">Рисунок </w:t>
      </w:r>
      <w:r w:rsidR="00C22CD7" w:rsidRPr="00070394">
        <w:rPr>
          <w:rFonts w:ascii="Times New Roman" w:hAnsi="Times New Roman" w:cs="Times New Roman"/>
          <w:sz w:val="28"/>
        </w:rPr>
        <w:t>1.</w:t>
      </w:r>
      <w:r w:rsidRPr="00070394">
        <w:rPr>
          <w:rFonts w:ascii="Times New Roman" w:hAnsi="Times New Roman" w:cs="Times New Roman"/>
          <w:sz w:val="28"/>
        </w:rPr>
        <w:t>1 – Классификация рисков</w:t>
      </w:r>
      <w:r w:rsidR="00B37CBE" w:rsidRPr="00070394">
        <w:rPr>
          <w:rFonts w:ascii="Times New Roman" w:hAnsi="Times New Roman" w:cs="Times New Roman"/>
          <w:sz w:val="28"/>
        </w:rPr>
        <w:t>, [</w:t>
      </w:r>
      <w:r w:rsidR="00086212">
        <w:rPr>
          <w:rFonts w:ascii="Times New Roman" w:hAnsi="Times New Roman" w:cs="Times New Roman"/>
          <w:sz w:val="28"/>
        </w:rPr>
        <w:t>13</w:t>
      </w:r>
      <w:r w:rsidR="00AD523B">
        <w:rPr>
          <w:rFonts w:ascii="Times New Roman" w:hAnsi="Times New Roman" w:cs="Times New Roman"/>
          <w:sz w:val="28"/>
        </w:rPr>
        <w:t>, с. 4]</w:t>
      </w:r>
    </w:p>
    <w:p w14:paraId="21048680" w14:textId="77777777" w:rsidR="00AD523B" w:rsidRPr="00070394" w:rsidRDefault="00AD523B" w:rsidP="009E66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0C267EC0" w14:textId="77777777" w:rsidR="009E6669" w:rsidRPr="00070394" w:rsidRDefault="009E6669" w:rsidP="009E6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Риски следует подразделять на чистые (экономические, политические и т.д.) и спекулятивные. Финансовые риски относятся к группе спекулятивных.</w:t>
      </w:r>
    </w:p>
    <w:p w14:paraId="3BD94AFD" w14:textId="3239EF24" w:rsidR="00176D3A" w:rsidRPr="00070394" w:rsidRDefault="00176D3A" w:rsidP="004650C1">
      <w:pPr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Стоит отметить, что</w:t>
      </w:r>
      <w:r w:rsidR="002C729F">
        <w:rPr>
          <w:rFonts w:ascii="Times New Roman" w:hAnsi="Times New Roman" w:cs="Times New Roman"/>
          <w:sz w:val="28"/>
        </w:rPr>
        <w:t xml:space="preserve"> </w:t>
      </w:r>
      <w:r w:rsidRPr="00070394">
        <w:rPr>
          <w:rFonts w:ascii="Times New Roman" w:hAnsi="Times New Roman" w:cs="Times New Roman"/>
          <w:sz w:val="28"/>
        </w:rPr>
        <w:t>чистые риски являются общими для абсолютно любой организации</w:t>
      </w:r>
      <w:r w:rsidR="004650C1" w:rsidRPr="00070394">
        <w:rPr>
          <w:rFonts w:ascii="Times New Roman" w:hAnsi="Times New Roman" w:cs="Times New Roman"/>
          <w:sz w:val="28"/>
        </w:rPr>
        <w:t xml:space="preserve">. Политическая обстановка, например, может оказать влияние на любую организацию, а валютный риск нет, потому что в организации могут отсутствовать операции с валютными средствами. Также по мнению </w:t>
      </w:r>
      <w:r w:rsidR="00086212">
        <w:rPr>
          <w:rFonts w:ascii="Times New Roman" w:hAnsi="Times New Roman" w:cs="Times New Roman"/>
          <w:sz w:val="28"/>
        </w:rPr>
        <w:t>М</w:t>
      </w:r>
      <w:r w:rsidR="004650C1" w:rsidRPr="00070394">
        <w:rPr>
          <w:rFonts w:ascii="Times New Roman" w:hAnsi="Times New Roman" w:cs="Times New Roman"/>
          <w:sz w:val="28"/>
        </w:rPr>
        <w:t>. В. Грачева, существует связь между коммерческими и финансовыми рисками по схожим последствиям для имущественного состояния, баланса организации, а также процесса производства [</w:t>
      </w:r>
      <w:r w:rsidR="00086212">
        <w:rPr>
          <w:rFonts w:ascii="Times New Roman" w:hAnsi="Times New Roman" w:cs="Times New Roman"/>
          <w:sz w:val="28"/>
        </w:rPr>
        <w:t>14</w:t>
      </w:r>
      <w:r w:rsidR="004650C1" w:rsidRPr="00070394">
        <w:rPr>
          <w:rFonts w:ascii="Times New Roman" w:hAnsi="Times New Roman" w:cs="Times New Roman"/>
          <w:sz w:val="28"/>
        </w:rPr>
        <w:t xml:space="preserve">]. </w:t>
      </w:r>
    </w:p>
    <w:p w14:paraId="4AFB70FC" w14:textId="7059C7B6" w:rsidR="006671D5" w:rsidRPr="00070394" w:rsidRDefault="004650C1" w:rsidP="006671D5">
      <w:pPr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Финансовые риски подразделяются на две большие группы – инвестиционных рисков и рисков, связанных с покупательской способностью денег.</w:t>
      </w:r>
      <w:r w:rsidR="00A72E58" w:rsidRPr="00070394">
        <w:rPr>
          <w:rFonts w:ascii="Times New Roman" w:hAnsi="Times New Roman" w:cs="Times New Roman"/>
          <w:sz w:val="28"/>
        </w:rPr>
        <w:t xml:space="preserve"> Во второй группе рисков находятся валютные и инфляционные риски. </w:t>
      </w:r>
      <w:r w:rsidR="00A72E58" w:rsidRPr="00070394">
        <w:rPr>
          <w:rFonts w:ascii="Times New Roman" w:hAnsi="Times New Roman" w:cs="Times New Roman"/>
          <w:sz w:val="28"/>
        </w:rPr>
        <w:lastRenderedPageBreak/>
        <w:t>То есть риски, которые никаким образом не зависят от деятельности организации (являются внешними финансовыми рисками). Валютные риски могут нести положительный эффект, что является их главной отличительной особенностью. В большей степени на них влияет политическая и экономическая обстановка в стране и в мире. Классификация рисков первой группы представлена на рисунке 1.2.</w:t>
      </w:r>
    </w:p>
    <w:p w14:paraId="2689F440" w14:textId="77777777" w:rsidR="00A72E58" w:rsidRPr="00070394" w:rsidRDefault="00A72E58" w:rsidP="00A72E58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897AD44" wp14:editId="2F3B8597">
            <wp:extent cx="5486400" cy="3589020"/>
            <wp:effectExtent l="0" t="0" r="1905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56BF792" w14:textId="51D55C88" w:rsidR="00A72E58" w:rsidRDefault="00A72E58" w:rsidP="00A72E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Рисунок 1.</w:t>
      </w:r>
      <w:r w:rsidR="00BA5337">
        <w:rPr>
          <w:rFonts w:ascii="Times New Roman" w:hAnsi="Times New Roman" w:cs="Times New Roman"/>
          <w:sz w:val="28"/>
        </w:rPr>
        <w:t>2</w:t>
      </w:r>
      <w:r w:rsidRPr="00070394">
        <w:rPr>
          <w:rFonts w:ascii="Times New Roman" w:hAnsi="Times New Roman" w:cs="Times New Roman"/>
          <w:sz w:val="28"/>
        </w:rPr>
        <w:t xml:space="preserve"> – Классификация </w:t>
      </w:r>
      <w:r w:rsidR="00873B33" w:rsidRPr="00070394">
        <w:rPr>
          <w:rFonts w:ascii="Times New Roman" w:hAnsi="Times New Roman" w:cs="Times New Roman"/>
          <w:sz w:val="28"/>
        </w:rPr>
        <w:t xml:space="preserve">инвестиционных </w:t>
      </w:r>
      <w:r w:rsidRPr="00070394">
        <w:rPr>
          <w:rFonts w:ascii="Times New Roman" w:hAnsi="Times New Roman" w:cs="Times New Roman"/>
          <w:sz w:val="28"/>
        </w:rPr>
        <w:t>рисков, [</w:t>
      </w:r>
      <w:r w:rsidR="00086212">
        <w:rPr>
          <w:rFonts w:ascii="Times New Roman" w:hAnsi="Times New Roman" w:cs="Times New Roman"/>
          <w:sz w:val="28"/>
        </w:rPr>
        <w:t>29</w:t>
      </w:r>
      <w:r w:rsidRPr="00070394">
        <w:rPr>
          <w:rFonts w:ascii="Times New Roman" w:hAnsi="Times New Roman" w:cs="Times New Roman"/>
          <w:sz w:val="28"/>
        </w:rPr>
        <w:t xml:space="preserve">, с. </w:t>
      </w:r>
      <w:r w:rsidR="00873B33" w:rsidRPr="00070394">
        <w:rPr>
          <w:rFonts w:ascii="Times New Roman" w:hAnsi="Times New Roman" w:cs="Times New Roman"/>
          <w:sz w:val="28"/>
        </w:rPr>
        <w:t>9</w:t>
      </w:r>
      <w:r w:rsidRPr="00070394">
        <w:rPr>
          <w:rFonts w:ascii="Times New Roman" w:hAnsi="Times New Roman" w:cs="Times New Roman"/>
          <w:sz w:val="28"/>
        </w:rPr>
        <w:t>4].</w:t>
      </w:r>
    </w:p>
    <w:p w14:paraId="014B9CFC" w14:textId="77777777" w:rsidR="00AD523B" w:rsidRPr="00070394" w:rsidRDefault="00AD523B" w:rsidP="00A72E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A0557FB" w14:textId="21C82A65" w:rsidR="00873B33" w:rsidRDefault="00873B33" w:rsidP="00873B33">
      <w:pPr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Данная классификация инвестиционных рисков является достоверной, но не полноценной, поскольку не учитывает самый основной риск банкротства, а также риски, которые относятся к торговле на бирже (то есть биржевые).</w:t>
      </w:r>
    </w:p>
    <w:p w14:paraId="170F1C84" w14:textId="2C787018" w:rsidR="006F7CF6" w:rsidRPr="00070394" w:rsidRDefault="006F7CF6" w:rsidP="00873B33">
      <w:pPr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К. </w:t>
      </w:r>
      <w:proofErr w:type="spellStart"/>
      <w:r>
        <w:rPr>
          <w:rFonts w:ascii="Times New Roman" w:hAnsi="Times New Roman" w:cs="Times New Roman"/>
          <w:sz w:val="28"/>
        </w:rPr>
        <w:t>Сенчагов</w:t>
      </w:r>
      <w:proofErr w:type="spellEnd"/>
      <w:r w:rsidR="00086212">
        <w:rPr>
          <w:rFonts w:ascii="Times New Roman" w:hAnsi="Times New Roman" w:cs="Times New Roman"/>
          <w:sz w:val="28"/>
        </w:rPr>
        <w:t xml:space="preserve"> совместно с другими исследователями </w:t>
      </w:r>
      <w:r>
        <w:rPr>
          <w:rFonts w:ascii="Times New Roman" w:hAnsi="Times New Roman" w:cs="Times New Roman"/>
          <w:sz w:val="28"/>
        </w:rPr>
        <w:t>также выделяют серьезным финансовым риско</w:t>
      </w:r>
      <w:r w:rsidR="002C729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для экономической безопасности организации рост кредитной задолженности, то есть кредитный риск </w:t>
      </w:r>
      <w:r w:rsidRPr="00086212">
        <w:rPr>
          <w:rFonts w:ascii="Times New Roman" w:hAnsi="Times New Roman" w:cs="Times New Roman"/>
          <w:sz w:val="28"/>
        </w:rPr>
        <w:t>[</w:t>
      </w:r>
      <w:r w:rsidR="00086212" w:rsidRPr="00086212">
        <w:rPr>
          <w:rFonts w:ascii="Times New Roman" w:hAnsi="Times New Roman" w:cs="Times New Roman"/>
          <w:sz w:val="28"/>
        </w:rPr>
        <w:t>31</w:t>
      </w:r>
      <w:r w:rsidRPr="00086212">
        <w:rPr>
          <w:rFonts w:ascii="Times New Roman" w:hAnsi="Times New Roman" w:cs="Times New Roman"/>
          <w:sz w:val="28"/>
        </w:rPr>
        <w:t>, с. 723].</w:t>
      </w:r>
      <w:r>
        <w:rPr>
          <w:rFonts w:ascii="Times New Roman" w:hAnsi="Times New Roman" w:cs="Times New Roman"/>
          <w:sz w:val="28"/>
        </w:rPr>
        <w:t xml:space="preserve"> Несмотря на улучшение многих экономических факторов, на сегодняшний день внешняя политическая и экономическая ситуация провоцирует возникновение более существенных кредитных рисков.</w:t>
      </w:r>
    </w:p>
    <w:p w14:paraId="6A0D1E02" w14:textId="77777777" w:rsidR="00873B33" w:rsidRPr="00070394" w:rsidRDefault="00873B33" w:rsidP="00873B33">
      <w:pPr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lastRenderedPageBreak/>
        <w:t xml:space="preserve">По мнению Е. А. </w:t>
      </w:r>
      <w:proofErr w:type="spellStart"/>
      <w:r w:rsidRPr="00070394">
        <w:rPr>
          <w:rFonts w:ascii="Times New Roman" w:hAnsi="Times New Roman" w:cs="Times New Roman"/>
          <w:sz w:val="28"/>
        </w:rPr>
        <w:t>Кривенда</w:t>
      </w:r>
      <w:proofErr w:type="spellEnd"/>
      <w:r w:rsidRPr="00070394">
        <w:rPr>
          <w:rFonts w:ascii="Times New Roman" w:hAnsi="Times New Roman" w:cs="Times New Roman"/>
          <w:sz w:val="28"/>
        </w:rPr>
        <w:t xml:space="preserve">, к инвестиционным рискам относятся следующие виды рисков: </w:t>
      </w:r>
    </w:p>
    <w:p w14:paraId="14452D2A" w14:textId="76F982CF" w:rsidR="00873B33" w:rsidRPr="0031487F" w:rsidRDefault="00DE7FEA" w:rsidP="0031487F">
      <w:pPr>
        <w:pStyle w:val="a3"/>
        <w:numPr>
          <w:ilvl w:val="0"/>
          <w:numId w:val="10"/>
        </w:numPr>
        <w:tabs>
          <w:tab w:val="left" w:pos="122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73B33" w:rsidRPr="0031487F">
        <w:rPr>
          <w:rFonts w:ascii="Times New Roman" w:hAnsi="Times New Roman" w:cs="Times New Roman"/>
          <w:sz w:val="28"/>
        </w:rPr>
        <w:t xml:space="preserve">риск упущенной выгоды (возникновение косвенного финансового ущерба (упущенная выгода) по результатам события; </w:t>
      </w:r>
    </w:p>
    <w:p w14:paraId="3CE25017" w14:textId="1BA841BE" w:rsidR="00873B33" w:rsidRPr="0031487F" w:rsidRDefault="00873B33" w:rsidP="0031487F">
      <w:pPr>
        <w:pStyle w:val="a3"/>
        <w:numPr>
          <w:ilvl w:val="0"/>
          <w:numId w:val="10"/>
        </w:numPr>
        <w:tabs>
          <w:tab w:val="left" w:pos="122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31487F">
        <w:rPr>
          <w:rFonts w:ascii="Times New Roman" w:hAnsi="Times New Roman" w:cs="Times New Roman"/>
          <w:sz w:val="28"/>
        </w:rPr>
        <w:t xml:space="preserve">риск падения рентабельности - возникает в результате снижения суммы процентов и дивидендов по имеющимся портфельным инвестициям, кредитам и депозитам; </w:t>
      </w:r>
    </w:p>
    <w:p w14:paraId="51276629" w14:textId="7F85B261" w:rsidR="00873B33" w:rsidRPr="0031487F" w:rsidRDefault="00873B33" w:rsidP="0031487F">
      <w:pPr>
        <w:pStyle w:val="a3"/>
        <w:numPr>
          <w:ilvl w:val="0"/>
          <w:numId w:val="10"/>
        </w:numPr>
        <w:tabs>
          <w:tab w:val="left" w:pos="122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31487F">
        <w:rPr>
          <w:rFonts w:ascii="Times New Roman" w:hAnsi="Times New Roman" w:cs="Times New Roman"/>
          <w:sz w:val="28"/>
        </w:rPr>
        <w:t>риск прямых финансовых потерь представляет собой комбинацию следующих видов рисков: избирательный риск, валютный риск, риск банкротства и кредитный риск</w:t>
      </w:r>
      <w:r w:rsidR="00DE7FEA">
        <w:rPr>
          <w:rFonts w:ascii="Times New Roman" w:hAnsi="Times New Roman" w:cs="Times New Roman"/>
          <w:sz w:val="28"/>
        </w:rPr>
        <w:t>»</w:t>
      </w:r>
      <w:r w:rsidRPr="0031487F">
        <w:rPr>
          <w:rFonts w:ascii="Times New Roman" w:hAnsi="Times New Roman" w:cs="Times New Roman"/>
          <w:sz w:val="28"/>
        </w:rPr>
        <w:t xml:space="preserve"> [1</w:t>
      </w:r>
      <w:r w:rsidR="00086212" w:rsidRPr="0031487F">
        <w:rPr>
          <w:rFonts w:ascii="Times New Roman" w:hAnsi="Times New Roman" w:cs="Times New Roman"/>
          <w:sz w:val="28"/>
        </w:rPr>
        <w:t>9</w:t>
      </w:r>
      <w:r w:rsidRPr="0031487F">
        <w:rPr>
          <w:rFonts w:ascii="Times New Roman" w:hAnsi="Times New Roman" w:cs="Times New Roman"/>
          <w:sz w:val="28"/>
        </w:rPr>
        <w:t>].</w:t>
      </w:r>
    </w:p>
    <w:p w14:paraId="6F870AA2" w14:textId="77777777" w:rsidR="00873B33" w:rsidRPr="00070394" w:rsidRDefault="00873B33" w:rsidP="00873B33">
      <w:pPr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Представленная классификация является более широкой по сравнению с остальными и предполагает наибольшее количество рисков в каждой из 3 групп.</w:t>
      </w:r>
    </w:p>
    <w:p w14:paraId="2AAFDD97" w14:textId="00486AFD" w:rsidR="00A70066" w:rsidRDefault="00A70066" w:rsidP="00A70066">
      <w:pPr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Наиболее часто используемая классификация финансовых рисков представлена в таблице 1.1</w:t>
      </w:r>
    </w:p>
    <w:p w14:paraId="753D2DB2" w14:textId="77777777" w:rsidR="00AD523B" w:rsidRPr="00070394" w:rsidRDefault="00AD523B" w:rsidP="00A70066">
      <w:pPr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D4C3B2" w14:textId="1EB0DD21" w:rsidR="00A70066" w:rsidRPr="00070394" w:rsidRDefault="00E548C1" w:rsidP="00AD523B">
      <w:pPr>
        <w:tabs>
          <w:tab w:val="left" w:pos="122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 xml:space="preserve">Таблица 1.1 - </w:t>
      </w:r>
      <w:r w:rsidR="00A70066" w:rsidRPr="00070394">
        <w:rPr>
          <w:rFonts w:ascii="Times New Roman" w:hAnsi="Times New Roman" w:cs="Times New Roman"/>
          <w:sz w:val="28"/>
        </w:rPr>
        <w:t>Классификация финансовых рисков</w:t>
      </w:r>
      <w:r w:rsidRPr="00070394">
        <w:rPr>
          <w:rFonts w:ascii="Times New Roman" w:hAnsi="Times New Roman" w:cs="Times New Roman"/>
          <w:sz w:val="28"/>
        </w:rPr>
        <w:t xml:space="preserve"> [</w:t>
      </w:r>
      <w:r w:rsidR="00086212">
        <w:rPr>
          <w:rFonts w:ascii="Times New Roman" w:hAnsi="Times New Roman" w:cs="Times New Roman"/>
          <w:sz w:val="28"/>
        </w:rPr>
        <w:t>17</w:t>
      </w:r>
      <w:r w:rsidRPr="00070394">
        <w:rPr>
          <w:rFonts w:ascii="Times New Roman" w:hAnsi="Times New Roman" w:cs="Times New Roman"/>
          <w:sz w:val="28"/>
        </w:rPr>
        <w:t>, с. 30]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2"/>
        <w:gridCol w:w="3626"/>
        <w:gridCol w:w="3937"/>
      </w:tblGrid>
      <w:tr w:rsidR="00E548C1" w:rsidRPr="00070394" w14:paraId="4F0790E3" w14:textId="77777777" w:rsidTr="00E548C1">
        <w:tc>
          <w:tcPr>
            <w:tcW w:w="1754" w:type="dxa"/>
          </w:tcPr>
          <w:p w14:paraId="78645555" w14:textId="77777777" w:rsidR="00E548C1" w:rsidRPr="00070394" w:rsidRDefault="00E548C1" w:rsidP="00E548C1">
            <w:pPr>
              <w:tabs>
                <w:tab w:val="left" w:pos="122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Признак</w:t>
            </w:r>
          </w:p>
        </w:tc>
        <w:tc>
          <w:tcPr>
            <w:tcW w:w="3628" w:type="dxa"/>
          </w:tcPr>
          <w:p w14:paraId="3C2A9DA2" w14:textId="77777777" w:rsidR="00E548C1" w:rsidRPr="00070394" w:rsidRDefault="00E548C1" w:rsidP="00E548C1">
            <w:pPr>
              <w:tabs>
                <w:tab w:val="left" w:pos="122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Классификация</w:t>
            </w:r>
          </w:p>
        </w:tc>
        <w:tc>
          <w:tcPr>
            <w:tcW w:w="3963" w:type="dxa"/>
          </w:tcPr>
          <w:p w14:paraId="49EE1E27" w14:textId="77777777" w:rsidR="00E548C1" w:rsidRPr="00070394" w:rsidRDefault="00E548C1" w:rsidP="00E548C1">
            <w:pPr>
              <w:tabs>
                <w:tab w:val="left" w:pos="122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</w:tr>
      <w:tr w:rsidR="00E548C1" w:rsidRPr="00070394" w14:paraId="6F460A04" w14:textId="77777777" w:rsidTr="00E548C1">
        <w:tc>
          <w:tcPr>
            <w:tcW w:w="1754" w:type="dxa"/>
            <w:vMerge w:val="restart"/>
          </w:tcPr>
          <w:p w14:paraId="704E42AF" w14:textId="1408FBE5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По</w:t>
            </w:r>
            <w:r w:rsidR="00E36A16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070394">
              <w:rPr>
                <w:rFonts w:ascii="Times New Roman" w:hAnsi="Times New Roman" w:cs="Times New Roman"/>
                <w:sz w:val="24"/>
              </w:rPr>
              <w:t>источникам возникновения</w:t>
            </w:r>
          </w:p>
        </w:tc>
        <w:tc>
          <w:tcPr>
            <w:tcW w:w="3628" w:type="dxa"/>
          </w:tcPr>
          <w:p w14:paraId="056114D6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Внешний финансовый риск</w:t>
            </w:r>
          </w:p>
        </w:tc>
        <w:tc>
          <w:tcPr>
            <w:tcW w:w="3963" w:type="dxa"/>
          </w:tcPr>
          <w:p w14:paraId="78690086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Возникновение зависит от условий внешней экономической среды</w:t>
            </w:r>
          </w:p>
        </w:tc>
      </w:tr>
      <w:tr w:rsidR="00E548C1" w:rsidRPr="00070394" w14:paraId="1BFA36F2" w14:textId="77777777" w:rsidTr="00E548C1">
        <w:tc>
          <w:tcPr>
            <w:tcW w:w="1754" w:type="dxa"/>
            <w:vMerge/>
          </w:tcPr>
          <w:p w14:paraId="6CFB26AC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8" w:type="dxa"/>
          </w:tcPr>
          <w:p w14:paraId="7A0791FC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Внутренний финансовый риск</w:t>
            </w:r>
          </w:p>
        </w:tc>
        <w:tc>
          <w:tcPr>
            <w:tcW w:w="3963" w:type="dxa"/>
          </w:tcPr>
          <w:p w14:paraId="0F787A58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Причина возникновения – условия в организации</w:t>
            </w:r>
          </w:p>
        </w:tc>
      </w:tr>
      <w:tr w:rsidR="00E548C1" w:rsidRPr="00070394" w14:paraId="3EEBA226" w14:textId="77777777" w:rsidTr="00E548C1">
        <w:tc>
          <w:tcPr>
            <w:tcW w:w="1754" w:type="dxa"/>
            <w:vMerge w:val="restart"/>
          </w:tcPr>
          <w:p w14:paraId="691AA57F" w14:textId="2C4F0D12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По</w:t>
            </w:r>
            <w:r w:rsidR="00E36A16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070394">
              <w:rPr>
                <w:rFonts w:ascii="Times New Roman" w:hAnsi="Times New Roman" w:cs="Times New Roman"/>
                <w:sz w:val="24"/>
              </w:rPr>
              <w:t>характеру проявления во времени</w:t>
            </w:r>
          </w:p>
        </w:tc>
        <w:tc>
          <w:tcPr>
            <w:tcW w:w="3628" w:type="dxa"/>
          </w:tcPr>
          <w:p w14:paraId="3E4BF332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Временный финансовый риск</w:t>
            </w:r>
          </w:p>
        </w:tc>
        <w:tc>
          <w:tcPr>
            <w:tcW w:w="3963" w:type="dxa"/>
          </w:tcPr>
          <w:p w14:paraId="02BD9AE3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Возникает лишь на отдельных этапах осуществления финансовой операции</w:t>
            </w:r>
          </w:p>
        </w:tc>
      </w:tr>
      <w:tr w:rsidR="00E548C1" w:rsidRPr="00070394" w14:paraId="2BD38196" w14:textId="77777777" w:rsidTr="00E548C1">
        <w:tc>
          <w:tcPr>
            <w:tcW w:w="1754" w:type="dxa"/>
            <w:vMerge/>
          </w:tcPr>
          <w:p w14:paraId="70B861AC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8" w:type="dxa"/>
          </w:tcPr>
          <w:p w14:paraId="6C87FA78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Постоянный финансовый риск</w:t>
            </w:r>
          </w:p>
        </w:tc>
        <w:tc>
          <w:tcPr>
            <w:tcW w:w="3963" w:type="dxa"/>
          </w:tcPr>
          <w:p w14:paraId="37A0B884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На протяжении всей финансовой операции</w:t>
            </w:r>
          </w:p>
        </w:tc>
      </w:tr>
      <w:tr w:rsidR="00E548C1" w:rsidRPr="00070394" w14:paraId="5635C8AD" w14:textId="77777777" w:rsidTr="00E548C1">
        <w:tc>
          <w:tcPr>
            <w:tcW w:w="1754" w:type="dxa"/>
            <w:vMerge w:val="restart"/>
          </w:tcPr>
          <w:p w14:paraId="6C1F24F7" w14:textId="1D2953DF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По</w:t>
            </w:r>
            <w:r w:rsidR="00E36A16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070394">
              <w:rPr>
                <w:rFonts w:ascii="Times New Roman" w:hAnsi="Times New Roman" w:cs="Times New Roman"/>
                <w:sz w:val="24"/>
              </w:rPr>
              <w:t>уровню финансовых потерь</w:t>
            </w:r>
          </w:p>
        </w:tc>
        <w:tc>
          <w:tcPr>
            <w:tcW w:w="3628" w:type="dxa"/>
          </w:tcPr>
          <w:p w14:paraId="01DA10E5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Только экономические потери</w:t>
            </w:r>
          </w:p>
        </w:tc>
        <w:tc>
          <w:tcPr>
            <w:tcW w:w="3963" w:type="dxa"/>
          </w:tcPr>
          <w:p w14:paraId="25C6C9BB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Несмотря на некоторые потери прибыли организация может продолжать свою деятельность</w:t>
            </w:r>
          </w:p>
        </w:tc>
      </w:tr>
      <w:tr w:rsidR="00E548C1" w:rsidRPr="00070394" w14:paraId="7C087138" w14:textId="77777777" w:rsidTr="00E548C1">
        <w:tc>
          <w:tcPr>
            <w:tcW w:w="1754" w:type="dxa"/>
            <w:vMerge/>
          </w:tcPr>
          <w:p w14:paraId="68607919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8" w:type="dxa"/>
          </w:tcPr>
          <w:p w14:paraId="5812B5A2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Критический финансовый риск</w:t>
            </w:r>
          </w:p>
        </w:tc>
        <w:tc>
          <w:tcPr>
            <w:tcW w:w="3963" w:type="dxa"/>
          </w:tcPr>
          <w:p w14:paraId="60CEE3DD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Организация может не получить свою прибыль, так как убытки от деятельности равны вложенным средствам</w:t>
            </w:r>
          </w:p>
        </w:tc>
      </w:tr>
      <w:tr w:rsidR="00E548C1" w:rsidRPr="00070394" w14:paraId="521429CE" w14:textId="77777777" w:rsidTr="00E548C1">
        <w:tc>
          <w:tcPr>
            <w:tcW w:w="1754" w:type="dxa"/>
            <w:vMerge/>
          </w:tcPr>
          <w:p w14:paraId="6AEC6CAC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8" w:type="dxa"/>
          </w:tcPr>
          <w:p w14:paraId="0B120217" w14:textId="16490324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Катастрофический</w:t>
            </w:r>
            <w:r w:rsidR="00E36A16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070394">
              <w:rPr>
                <w:rFonts w:ascii="Times New Roman" w:hAnsi="Times New Roman" w:cs="Times New Roman"/>
                <w:sz w:val="24"/>
              </w:rPr>
              <w:t>финансовый риск</w:t>
            </w:r>
          </w:p>
        </w:tc>
        <w:tc>
          <w:tcPr>
            <w:tcW w:w="3963" w:type="dxa"/>
          </w:tcPr>
          <w:p w14:paraId="4CE6ECB8" w14:textId="77777777" w:rsidR="00E548C1" w:rsidRPr="00070394" w:rsidRDefault="00E548C1" w:rsidP="00E548C1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70394">
              <w:rPr>
                <w:rFonts w:ascii="Times New Roman" w:hAnsi="Times New Roman" w:cs="Times New Roman"/>
                <w:sz w:val="24"/>
              </w:rPr>
              <w:t>Кроме потери прибыли организация теряет собственное имущество, что может привести к банкротству</w:t>
            </w:r>
          </w:p>
        </w:tc>
      </w:tr>
    </w:tbl>
    <w:p w14:paraId="6A94B14E" w14:textId="77777777" w:rsidR="00176D3A" w:rsidRPr="00070394" w:rsidRDefault="00176D3A" w:rsidP="00520C09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lastRenderedPageBreak/>
        <w:t>Данная классификация является самой распространенной, поскольку учитывает основные классификационные признаки, такие как источник возникновения, постоянство присутствие риска и масштаб последствий наступления финансового риска. Разделение рисков по этой классификации важно осуществлять, так как это позволяет оценить существенность риска и разработать необходимый метод управления финансовым риском.</w:t>
      </w:r>
    </w:p>
    <w:p w14:paraId="6562E5A2" w14:textId="77777777" w:rsidR="0095486A" w:rsidRPr="00070394" w:rsidRDefault="0095486A" w:rsidP="0095486A">
      <w:pPr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Большая часть авторов исследований природы финансовых рисков склоняются к следующей классификации финансовых рисков организации:</w:t>
      </w:r>
    </w:p>
    <w:p w14:paraId="1E107210" w14:textId="0AB0B63F" w:rsidR="0095486A" w:rsidRPr="0031487F" w:rsidRDefault="00DE7FEA" w:rsidP="0031487F">
      <w:pPr>
        <w:pStyle w:val="a3"/>
        <w:numPr>
          <w:ilvl w:val="0"/>
          <w:numId w:val="11"/>
        </w:numPr>
        <w:tabs>
          <w:tab w:val="left" w:pos="122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5486A" w:rsidRPr="0031487F">
        <w:rPr>
          <w:rFonts w:ascii="Times New Roman" w:hAnsi="Times New Roman" w:cs="Times New Roman"/>
          <w:sz w:val="28"/>
        </w:rPr>
        <w:t>риск снижения финансовой устойчивости (равновесия). Этот тип риска возникает из-за несовершенства структуры существующего капитала в результате дисбаланса отрицательных и положительных денежных потоков по объему;</w:t>
      </w:r>
    </w:p>
    <w:p w14:paraId="77F48D1A" w14:textId="67FF57D5" w:rsidR="0095486A" w:rsidRPr="0031487F" w:rsidRDefault="0095486A" w:rsidP="0031487F">
      <w:pPr>
        <w:pStyle w:val="a3"/>
        <w:numPr>
          <w:ilvl w:val="0"/>
          <w:numId w:val="11"/>
        </w:numPr>
        <w:tabs>
          <w:tab w:val="left" w:pos="122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31487F">
        <w:rPr>
          <w:rFonts w:ascii="Times New Roman" w:hAnsi="Times New Roman" w:cs="Times New Roman"/>
          <w:sz w:val="28"/>
        </w:rPr>
        <w:t xml:space="preserve">риск неплатежеспособности организации. Этот тип риска возникает, когда падает уровень ликвидности текущих активов. По типу последствий этот риск считается одним из самых опасных. Он играет ведущую роль в управлении финансовыми рисками; </w:t>
      </w:r>
    </w:p>
    <w:p w14:paraId="7BD60E9C" w14:textId="04E21B00" w:rsidR="0095486A" w:rsidRPr="0031487F" w:rsidRDefault="0095486A" w:rsidP="0031487F">
      <w:pPr>
        <w:pStyle w:val="a3"/>
        <w:numPr>
          <w:ilvl w:val="0"/>
          <w:numId w:val="11"/>
        </w:numPr>
        <w:tabs>
          <w:tab w:val="left" w:pos="122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31487F">
        <w:rPr>
          <w:rFonts w:ascii="Times New Roman" w:hAnsi="Times New Roman" w:cs="Times New Roman"/>
          <w:sz w:val="28"/>
        </w:rPr>
        <w:t>инвестиционный риск (характеризует возможность финансовых потерь при осуществлении инвестиционной деятельности предприятия). Он также относится к группе наиболее опасных рисков</w:t>
      </w:r>
      <w:r w:rsidR="00DE7FEA">
        <w:rPr>
          <w:rFonts w:ascii="Times New Roman" w:hAnsi="Times New Roman" w:cs="Times New Roman"/>
          <w:sz w:val="28"/>
        </w:rPr>
        <w:t>»</w:t>
      </w:r>
      <w:r w:rsidRPr="0031487F">
        <w:rPr>
          <w:rFonts w:ascii="Times New Roman" w:hAnsi="Times New Roman" w:cs="Times New Roman"/>
          <w:sz w:val="28"/>
        </w:rPr>
        <w:t xml:space="preserve"> [</w:t>
      </w:r>
      <w:r w:rsidR="00086212" w:rsidRPr="0031487F">
        <w:rPr>
          <w:rFonts w:ascii="Times New Roman" w:hAnsi="Times New Roman" w:cs="Times New Roman"/>
          <w:sz w:val="28"/>
        </w:rPr>
        <w:t>4-5</w:t>
      </w:r>
      <w:r w:rsidRPr="0031487F">
        <w:rPr>
          <w:rFonts w:ascii="Times New Roman" w:hAnsi="Times New Roman" w:cs="Times New Roman"/>
          <w:sz w:val="28"/>
        </w:rPr>
        <w:t>,6,</w:t>
      </w:r>
      <w:r w:rsidR="00086212" w:rsidRPr="0031487F">
        <w:rPr>
          <w:rFonts w:ascii="Times New Roman" w:hAnsi="Times New Roman" w:cs="Times New Roman"/>
          <w:sz w:val="28"/>
        </w:rPr>
        <w:t>9</w:t>
      </w:r>
      <w:r w:rsidRPr="0031487F">
        <w:rPr>
          <w:rFonts w:ascii="Times New Roman" w:hAnsi="Times New Roman" w:cs="Times New Roman"/>
          <w:sz w:val="28"/>
        </w:rPr>
        <w:t xml:space="preserve">]. </w:t>
      </w:r>
    </w:p>
    <w:p w14:paraId="5DFB73BA" w14:textId="77777777" w:rsidR="0095486A" w:rsidRPr="00070394" w:rsidRDefault="0095486A" w:rsidP="0095486A">
      <w:pPr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0394">
        <w:rPr>
          <w:rFonts w:ascii="Times New Roman" w:hAnsi="Times New Roman" w:cs="Times New Roman"/>
          <w:sz w:val="28"/>
        </w:rPr>
        <w:t>В данной классификации представлены наиболее серьезные по существенности последствий финансовые риски организации. Каждый из перечисленных рисков можно расшифровать и дополнить рисками, которые из них вытекают.</w:t>
      </w:r>
    </w:p>
    <w:sectPr w:rsidR="0095486A" w:rsidRPr="00070394" w:rsidSect="004C472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AF0D" w14:textId="77777777" w:rsidR="00A255A4" w:rsidRDefault="00A255A4" w:rsidP="00536463">
      <w:pPr>
        <w:spacing w:after="0" w:line="240" w:lineRule="auto"/>
      </w:pPr>
      <w:r>
        <w:separator/>
      </w:r>
    </w:p>
  </w:endnote>
  <w:endnote w:type="continuationSeparator" w:id="0">
    <w:p w14:paraId="721D146F" w14:textId="77777777" w:rsidR="00A255A4" w:rsidRDefault="00A255A4" w:rsidP="0053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144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757E3D9" w14:textId="4977EA12" w:rsidR="00DE7FEA" w:rsidRPr="00536463" w:rsidRDefault="00DE7FEA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536463">
          <w:rPr>
            <w:rFonts w:ascii="Times New Roman" w:hAnsi="Times New Roman" w:cs="Times New Roman"/>
            <w:sz w:val="28"/>
          </w:rPr>
          <w:fldChar w:fldCharType="begin"/>
        </w:r>
        <w:r w:rsidRPr="00536463">
          <w:rPr>
            <w:rFonts w:ascii="Times New Roman" w:hAnsi="Times New Roman" w:cs="Times New Roman"/>
            <w:sz w:val="28"/>
          </w:rPr>
          <w:instrText>PAGE   \* MERGEFORMAT</w:instrText>
        </w:r>
        <w:r w:rsidRPr="00536463">
          <w:rPr>
            <w:rFonts w:ascii="Times New Roman" w:hAnsi="Times New Roman" w:cs="Times New Roman"/>
            <w:sz w:val="28"/>
          </w:rPr>
          <w:fldChar w:fldCharType="separate"/>
        </w:r>
        <w:r w:rsidR="00EA13BB">
          <w:rPr>
            <w:rFonts w:ascii="Times New Roman" w:hAnsi="Times New Roman" w:cs="Times New Roman"/>
            <w:noProof/>
            <w:sz w:val="28"/>
          </w:rPr>
          <w:t>17</w:t>
        </w:r>
        <w:r w:rsidRPr="0053646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1CCE88E" w14:textId="77777777" w:rsidR="00DE7FEA" w:rsidRDefault="00DE7F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EF20" w14:textId="77777777" w:rsidR="00A255A4" w:rsidRDefault="00A255A4" w:rsidP="00536463">
      <w:pPr>
        <w:spacing w:after="0" w:line="240" w:lineRule="auto"/>
      </w:pPr>
      <w:r>
        <w:separator/>
      </w:r>
    </w:p>
  </w:footnote>
  <w:footnote w:type="continuationSeparator" w:id="0">
    <w:p w14:paraId="59C51135" w14:textId="77777777" w:rsidR="00A255A4" w:rsidRDefault="00A255A4" w:rsidP="0053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61E"/>
    <w:multiLevelType w:val="hybridMultilevel"/>
    <w:tmpl w:val="A9D83610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F40D09"/>
    <w:multiLevelType w:val="hybridMultilevel"/>
    <w:tmpl w:val="850822BA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032C94"/>
    <w:multiLevelType w:val="hybridMultilevel"/>
    <w:tmpl w:val="E432F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030497"/>
    <w:multiLevelType w:val="hybridMultilevel"/>
    <w:tmpl w:val="6E44802A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F04A6C"/>
    <w:multiLevelType w:val="hybridMultilevel"/>
    <w:tmpl w:val="CABC1A7E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623F9B"/>
    <w:multiLevelType w:val="hybridMultilevel"/>
    <w:tmpl w:val="BC6C1EA2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5F240B"/>
    <w:multiLevelType w:val="hybridMultilevel"/>
    <w:tmpl w:val="C3C4B924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76955"/>
    <w:multiLevelType w:val="hybridMultilevel"/>
    <w:tmpl w:val="6B5AE95E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CD17C2"/>
    <w:multiLevelType w:val="hybridMultilevel"/>
    <w:tmpl w:val="50C02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002FE"/>
    <w:multiLevelType w:val="hybridMultilevel"/>
    <w:tmpl w:val="CE5C34F8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D07A38"/>
    <w:multiLevelType w:val="hybridMultilevel"/>
    <w:tmpl w:val="0A060354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BC5472"/>
    <w:multiLevelType w:val="hybridMultilevel"/>
    <w:tmpl w:val="903E3676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AE5FF6"/>
    <w:multiLevelType w:val="hybridMultilevel"/>
    <w:tmpl w:val="4CCA6C0A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6A107D"/>
    <w:multiLevelType w:val="hybridMultilevel"/>
    <w:tmpl w:val="8222B566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8F7ADD"/>
    <w:multiLevelType w:val="hybridMultilevel"/>
    <w:tmpl w:val="99B08878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450B70"/>
    <w:multiLevelType w:val="hybridMultilevel"/>
    <w:tmpl w:val="1542E3BC"/>
    <w:lvl w:ilvl="0" w:tplc="9B6646FA">
      <w:start w:val="1"/>
      <w:numFmt w:val="decimal"/>
      <w:lvlText w:val="%1.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A45B3"/>
    <w:multiLevelType w:val="hybridMultilevel"/>
    <w:tmpl w:val="43C44554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B42245"/>
    <w:multiLevelType w:val="hybridMultilevel"/>
    <w:tmpl w:val="DBA04910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475340"/>
    <w:multiLevelType w:val="hybridMultilevel"/>
    <w:tmpl w:val="07360180"/>
    <w:lvl w:ilvl="0" w:tplc="F9085E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D02EB"/>
    <w:multiLevelType w:val="hybridMultilevel"/>
    <w:tmpl w:val="34749700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D868EA"/>
    <w:multiLevelType w:val="hybridMultilevel"/>
    <w:tmpl w:val="4C0E4542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B318B7"/>
    <w:multiLevelType w:val="hybridMultilevel"/>
    <w:tmpl w:val="A9606F6E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6F3A86"/>
    <w:multiLevelType w:val="hybridMultilevel"/>
    <w:tmpl w:val="07360180"/>
    <w:lvl w:ilvl="0" w:tplc="F9085E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F75A5"/>
    <w:multiLevelType w:val="hybridMultilevel"/>
    <w:tmpl w:val="19F4E908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457017"/>
    <w:multiLevelType w:val="hybridMultilevel"/>
    <w:tmpl w:val="82961CDE"/>
    <w:lvl w:ilvl="0" w:tplc="6E36A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7F2A15"/>
    <w:multiLevelType w:val="hybridMultilevel"/>
    <w:tmpl w:val="57DE73AA"/>
    <w:lvl w:ilvl="0" w:tplc="9B6646FA">
      <w:start w:val="1"/>
      <w:numFmt w:val="decimal"/>
      <w:lvlText w:val="%1.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1E71A7"/>
    <w:multiLevelType w:val="hybridMultilevel"/>
    <w:tmpl w:val="E9AE65E8"/>
    <w:lvl w:ilvl="0" w:tplc="0082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FE79A4"/>
    <w:multiLevelType w:val="hybridMultilevel"/>
    <w:tmpl w:val="A368721E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3673ED"/>
    <w:multiLevelType w:val="hybridMultilevel"/>
    <w:tmpl w:val="5D1668B2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8C67A2"/>
    <w:multiLevelType w:val="hybridMultilevel"/>
    <w:tmpl w:val="0FDA9D5A"/>
    <w:lvl w:ilvl="0" w:tplc="0082D5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4"/>
  </w:num>
  <w:num w:numId="5">
    <w:abstractNumId w:val="21"/>
  </w:num>
  <w:num w:numId="6">
    <w:abstractNumId w:val="23"/>
  </w:num>
  <w:num w:numId="7">
    <w:abstractNumId w:val="29"/>
  </w:num>
  <w:num w:numId="8">
    <w:abstractNumId w:val="16"/>
  </w:num>
  <w:num w:numId="9">
    <w:abstractNumId w:val="28"/>
  </w:num>
  <w:num w:numId="10">
    <w:abstractNumId w:val="19"/>
  </w:num>
  <w:num w:numId="11">
    <w:abstractNumId w:val="17"/>
  </w:num>
  <w:num w:numId="12">
    <w:abstractNumId w:val="0"/>
  </w:num>
  <w:num w:numId="13">
    <w:abstractNumId w:val="27"/>
  </w:num>
  <w:num w:numId="14">
    <w:abstractNumId w:val="14"/>
  </w:num>
  <w:num w:numId="15">
    <w:abstractNumId w:val="12"/>
  </w:num>
  <w:num w:numId="16">
    <w:abstractNumId w:val="10"/>
  </w:num>
  <w:num w:numId="17">
    <w:abstractNumId w:val="13"/>
  </w:num>
  <w:num w:numId="18">
    <w:abstractNumId w:val="5"/>
  </w:num>
  <w:num w:numId="19">
    <w:abstractNumId w:val="9"/>
  </w:num>
  <w:num w:numId="20">
    <w:abstractNumId w:val="7"/>
  </w:num>
  <w:num w:numId="21">
    <w:abstractNumId w:val="20"/>
  </w:num>
  <w:num w:numId="22">
    <w:abstractNumId w:val="2"/>
  </w:num>
  <w:num w:numId="23">
    <w:abstractNumId w:val="24"/>
  </w:num>
  <w:num w:numId="24">
    <w:abstractNumId w:val="3"/>
  </w:num>
  <w:num w:numId="25">
    <w:abstractNumId w:val="26"/>
  </w:num>
  <w:num w:numId="26">
    <w:abstractNumId w:val="11"/>
  </w:num>
  <w:num w:numId="27">
    <w:abstractNumId w:val="6"/>
  </w:num>
  <w:num w:numId="28">
    <w:abstractNumId w:val="1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B7"/>
    <w:rsid w:val="00015F86"/>
    <w:rsid w:val="00017032"/>
    <w:rsid w:val="00017DA7"/>
    <w:rsid w:val="00041761"/>
    <w:rsid w:val="0004627A"/>
    <w:rsid w:val="0006056F"/>
    <w:rsid w:val="00070394"/>
    <w:rsid w:val="00086212"/>
    <w:rsid w:val="000954E9"/>
    <w:rsid w:val="000A0919"/>
    <w:rsid w:val="000A62D9"/>
    <w:rsid w:val="000E6B04"/>
    <w:rsid w:val="0011587B"/>
    <w:rsid w:val="0011773F"/>
    <w:rsid w:val="00146656"/>
    <w:rsid w:val="00160EEB"/>
    <w:rsid w:val="00176D3A"/>
    <w:rsid w:val="001C5831"/>
    <w:rsid w:val="001E32F4"/>
    <w:rsid w:val="001F24DD"/>
    <w:rsid w:val="001F77EE"/>
    <w:rsid w:val="00232582"/>
    <w:rsid w:val="00253DA8"/>
    <w:rsid w:val="002773CB"/>
    <w:rsid w:val="00297C42"/>
    <w:rsid w:val="002C729F"/>
    <w:rsid w:val="002D3B49"/>
    <w:rsid w:val="0030196B"/>
    <w:rsid w:val="00313439"/>
    <w:rsid w:val="0031487F"/>
    <w:rsid w:val="00343A56"/>
    <w:rsid w:val="00352F1F"/>
    <w:rsid w:val="00376AE9"/>
    <w:rsid w:val="00390F1B"/>
    <w:rsid w:val="003B5D4D"/>
    <w:rsid w:val="003D3811"/>
    <w:rsid w:val="003E1171"/>
    <w:rsid w:val="003F13C7"/>
    <w:rsid w:val="003F1A97"/>
    <w:rsid w:val="004059B0"/>
    <w:rsid w:val="0041605E"/>
    <w:rsid w:val="00440326"/>
    <w:rsid w:val="00451E10"/>
    <w:rsid w:val="004650C1"/>
    <w:rsid w:val="00493466"/>
    <w:rsid w:val="004A44F8"/>
    <w:rsid w:val="004C3735"/>
    <w:rsid w:val="004C4726"/>
    <w:rsid w:val="004D35B7"/>
    <w:rsid w:val="004E6318"/>
    <w:rsid w:val="004F2A7A"/>
    <w:rsid w:val="00501899"/>
    <w:rsid w:val="00520C09"/>
    <w:rsid w:val="00521B0D"/>
    <w:rsid w:val="00523DA3"/>
    <w:rsid w:val="00536463"/>
    <w:rsid w:val="00540DCB"/>
    <w:rsid w:val="005531CE"/>
    <w:rsid w:val="00556CBA"/>
    <w:rsid w:val="00566297"/>
    <w:rsid w:val="005710F7"/>
    <w:rsid w:val="00582B30"/>
    <w:rsid w:val="005A72B4"/>
    <w:rsid w:val="005B284C"/>
    <w:rsid w:val="005F047A"/>
    <w:rsid w:val="005F0978"/>
    <w:rsid w:val="005F516E"/>
    <w:rsid w:val="005F59F4"/>
    <w:rsid w:val="005F79AD"/>
    <w:rsid w:val="006000A6"/>
    <w:rsid w:val="00615283"/>
    <w:rsid w:val="00622342"/>
    <w:rsid w:val="00625B59"/>
    <w:rsid w:val="00627369"/>
    <w:rsid w:val="00634EE0"/>
    <w:rsid w:val="00651109"/>
    <w:rsid w:val="00653262"/>
    <w:rsid w:val="00653657"/>
    <w:rsid w:val="006671D5"/>
    <w:rsid w:val="00670AD9"/>
    <w:rsid w:val="00697F62"/>
    <w:rsid w:val="006F7CF6"/>
    <w:rsid w:val="00705036"/>
    <w:rsid w:val="0071135A"/>
    <w:rsid w:val="00720F37"/>
    <w:rsid w:val="0072259D"/>
    <w:rsid w:val="0073174A"/>
    <w:rsid w:val="007321DE"/>
    <w:rsid w:val="0074076C"/>
    <w:rsid w:val="00747B62"/>
    <w:rsid w:val="00770BA5"/>
    <w:rsid w:val="007957AA"/>
    <w:rsid w:val="00795B53"/>
    <w:rsid w:val="007A11E5"/>
    <w:rsid w:val="007B3E6A"/>
    <w:rsid w:val="007C75FB"/>
    <w:rsid w:val="007D0534"/>
    <w:rsid w:val="00827CCA"/>
    <w:rsid w:val="00840D23"/>
    <w:rsid w:val="00873B33"/>
    <w:rsid w:val="008A7C00"/>
    <w:rsid w:val="008D4A9B"/>
    <w:rsid w:val="008F141E"/>
    <w:rsid w:val="008F3FDC"/>
    <w:rsid w:val="00911B70"/>
    <w:rsid w:val="0092431B"/>
    <w:rsid w:val="00930405"/>
    <w:rsid w:val="00935413"/>
    <w:rsid w:val="0095486A"/>
    <w:rsid w:val="009605C3"/>
    <w:rsid w:val="0098320B"/>
    <w:rsid w:val="009B487D"/>
    <w:rsid w:val="009C4DA4"/>
    <w:rsid w:val="009C5EB2"/>
    <w:rsid w:val="009C7914"/>
    <w:rsid w:val="009E6669"/>
    <w:rsid w:val="009F3CC2"/>
    <w:rsid w:val="00A05A0B"/>
    <w:rsid w:val="00A078B2"/>
    <w:rsid w:val="00A255A4"/>
    <w:rsid w:val="00A27B66"/>
    <w:rsid w:val="00A41EC8"/>
    <w:rsid w:val="00A70066"/>
    <w:rsid w:val="00A72E58"/>
    <w:rsid w:val="00A81A7E"/>
    <w:rsid w:val="00A9005B"/>
    <w:rsid w:val="00A969A2"/>
    <w:rsid w:val="00AA3A65"/>
    <w:rsid w:val="00AA6F3A"/>
    <w:rsid w:val="00AC2ECD"/>
    <w:rsid w:val="00AC300B"/>
    <w:rsid w:val="00AD19FE"/>
    <w:rsid w:val="00AD523B"/>
    <w:rsid w:val="00AE46FD"/>
    <w:rsid w:val="00B37CBE"/>
    <w:rsid w:val="00BA5337"/>
    <w:rsid w:val="00BA7BAC"/>
    <w:rsid w:val="00C205A8"/>
    <w:rsid w:val="00C22CD7"/>
    <w:rsid w:val="00C23848"/>
    <w:rsid w:val="00C4015D"/>
    <w:rsid w:val="00C4145A"/>
    <w:rsid w:val="00C572DE"/>
    <w:rsid w:val="00C649E7"/>
    <w:rsid w:val="00C951A6"/>
    <w:rsid w:val="00CB0800"/>
    <w:rsid w:val="00CB7D2A"/>
    <w:rsid w:val="00CD0E1B"/>
    <w:rsid w:val="00CF353E"/>
    <w:rsid w:val="00CF4C66"/>
    <w:rsid w:val="00D03CB0"/>
    <w:rsid w:val="00D17860"/>
    <w:rsid w:val="00D207AA"/>
    <w:rsid w:val="00D4186F"/>
    <w:rsid w:val="00D77E8D"/>
    <w:rsid w:val="00D845D1"/>
    <w:rsid w:val="00DB3D4A"/>
    <w:rsid w:val="00DB5C24"/>
    <w:rsid w:val="00DD2666"/>
    <w:rsid w:val="00DE7263"/>
    <w:rsid w:val="00DE7FEA"/>
    <w:rsid w:val="00DF2773"/>
    <w:rsid w:val="00E059AE"/>
    <w:rsid w:val="00E06297"/>
    <w:rsid w:val="00E141FE"/>
    <w:rsid w:val="00E17256"/>
    <w:rsid w:val="00E36A16"/>
    <w:rsid w:val="00E548C1"/>
    <w:rsid w:val="00E57466"/>
    <w:rsid w:val="00E64857"/>
    <w:rsid w:val="00E7125E"/>
    <w:rsid w:val="00E735C9"/>
    <w:rsid w:val="00EA13BB"/>
    <w:rsid w:val="00EA3227"/>
    <w:rsid w:val="00EB4DA7"/>
    <w:rsid w:val="00EB6B47"/>
    <w:rsid w:val="00EC2D27"/>
    <w:rsid w:val="00EE39B2"/>
    <w:rsid w:val="00EE7410"/>
    <w:rsid w:val="00EF1F98"/>
    <w:rsid w:val="00F052E1"/>
    <w:rsid w:val="00F1348F"/>
    <w:rsid w:val="00F177B4"/>
    <w:rsid w:val="00F27CB8"/>
    <w:rsid w:val="00F34A32"/>
    <w:rsid w:val="00F53299"/>
    <w:rsid w:val="00F70735"/>
    <w:rsid w:val="00F71CFD"/>
    <w:rsid w:val="00F7242F"/>
    <w:rsid w:val="00FA0561"/>
    <w:rsid w:val="00F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E87F"/>
  <w15:chartTrackingRefBased/>
  <w15:docId w15:val="{2C072430-7187-4021-B96B-FE8DF67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E8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- нумерованный абзац,Светлая сетка - Акцент 31"/>
    <w:basedOn w:val="a"/>
    <w:link w:val="a4"/>
    <w:uiPriority w:val="34"/>
    <w:qFormat/>
    <w:rsid w:val="00D77E8D"/>
    <w:pPr>
      <w:ind w:left="720"/>
      <w:contextualSpacing/>
    </w:pPr>
  </w:style>
  <w:style w:type="table" w:styleId="a5">
    <w:name w:val="Table Grid"/>
    <w:basedOn w:val="a1"/>
    <w:uiPriority w:val="59"/>
    <w:rsid w:val="00E5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463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53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463"/>
    <w:rPr>
      <w:rFonts w:ascii="Calibri" w:eastAsia="Calibri" w:hAnsi="Calibri" w:cs="Calibri"/>
      <w:lang w:eastAsia="ru-RU"/>
    </w:rPr>
  </w:style>
  <w:style w:type="paragraph" w:styleId="aa">
    <w:name w:val="Normal (Web)"/>
    <w:basedOn w:val="a"/>
    <w:uiPriority w:val="99"/>
    <w:unhideWhenUsed/>
    <w:rsid w:val="005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писок - нумерованный абзац Знак,Светлая сетка - Акцент 31 Знак"/>
    <w:link w:val="a3"/>
    <w:uiPriority w:val="34"/>
    <w:locked/>
    <w:rsid w:val="001C5831"/>
    <w:rPr>
      <w:rFonts w:ascii="Calibri" w:eastAsia="Calibri" w:hAnsi="Calibri" w:cs="Calibri"/>
      <w:lang w:eastAsia="ru-RU"/>
    </w:rPr>
  </w:style>
  <w:style w:type="paragraph" w:customStyle="1" w:styleId="bigtext">
    <w:name w:val="bigtext"/>
    <w:basedOn w:val="a"/>
    <w:rsid w:val="001C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lp">
    <w:name w:val="help"/>
    <w:basedOn w:val="a0"/>
    <w:rsid w:val="001C5831"/>
  </w:style>
  <w:style w:type="character" w:customStyle="1" w:styleId="help1">
    <w:name w:val="help1"/>
    <w:basedOn w:val="a0"/>
    <w:rsid w:val="001C5831"/>
  </w:style>
  <w:style w:type="character" w:styleId="ab">
    <w:name w:val="Hyperlink"/>
    <w:basedOn w:val="a0"/>
    <w:uiPriority w:val="99"/>
    <w:unhideWhenUsed/>
    <w:rsid w:val="001C5831"/>
    <w:rPr>
      <w:color w:val="0000FF"/>
      <w:u w:val="single"/>
    </w:rPr>
  </w:style>
  <w:style w:type="character" w:customStyle="1" w:styleId="2">
    <w:name w:val="Основной текст (2)_"/>
    <w:link w:val="20"/>
    <w:rsid w:val="003E117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117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3E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0D5980-81B7-4DB8-B75F-6B96029A5FD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AA5E13A-251B-49DF-8CBD-9683201BB87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Инвестиционные финансовые риски</a:t>
          </a:r>
        </a:p>
      </dgm:t>
    </dgm:pt>
    <dgm:pt modelId="{A2C00C84-9209-42D6-84C5-9063D0F26BA4}" type="parTrans" cxnId="{F7C7BC7F-6690-494E-8BB1-186A587AD9A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D8C2CE-80D5-4365-BB02-AA29A1AC1CAB}" type="sibTrans" cxnId="{F7C7BC7F-6690-494E-8BB1-186A587AD9A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5A1719-2345-423E-88F4-503B8191CC7F}" type="asst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Налоговый риск</a:t>
          </a:r>
        </a:p>
      </dgm:t>
    </dgm:pt>
    <dgm:pt modelId="{5B2FC0B3-7A3E-4D34-AADD-9FFC0F26B5B5}" type="parTrans" cxnId="{37BFAC6E-D874-4F2C-A103-A83A8D8BB58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142BD7-2397-4DBD-8801-55FAE580A255}" type="sibTrans" cxnId="{37BFAC6E-D874-4F2C-A103-A83A8D8BB58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7E3259-A5F3-43A5-B120-7D40B662347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Кредитный риск</a:t>
          </a:r>
        </a:p>
      </dgm:t>
    </dgm:pt>
    <dgm:pt modelId="{126F4DE0-6957-40DF-9F32-FC02387163BA}" type="parTrans" cxnId="{A05367A2-57B7-4679-BDFA-1C6B641F473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5DA0C1-20DA-4D5F-AB7A-D1DE839359AF}" type="sibTrans" cxnId="{A05367A2-57B7-4679-BDFA-1C6B641F473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E61526-980A-4F59-A121-34EE1D45102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Процентный риск</a:t>
          </a:r>
        </a:p>
      </dgm:t>
    </dgm:pt>
    <dgm:pt modelId="{FB96AE13-1B45-4FA1-9ADA-AB66ED3436EF}" type="parTrans" cxnId="{E022E980-02CF-4B39-9DCB-C4D391D73DB0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BD8B44-A1C3-4625-AE88-EE9D577AA03F}" type="sibTrans" cxnId="{E022E980-02CF-4B39-9DCB-C4D391D73DB0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05566D-E61C-4094-8789-345A80A629A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Депозитный риск</a:t>
          </a:r>
        </a:p>
      </dgm:t>
    </dgm:pt>
    <dgm:pt modelId="{9C6894CB-EB1D-4527-AF58-8E07507EB1CD}" type="parTrans" cxnId="{50B2657B-FC14-4B46-91EE-99C19C9D0BE0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3309B7-E787-4579-85BA-FAE914DE21CE}" type="sibTrans" cxnId="{50B2657B-FC14-4B46-91EE-99C19C9D0BE0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F2C8DF-EEA4-4A8E-86A7-425904232B39}" type="pres">
      <dgm:prSet presAssocID="{010D5980-81B7-4DB8-B75F-6B96029A5FD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4DBA376-46AF-4EFB-8139-5D9F23C38732}" type="pres">
      <dgm:prSet presAssocID="{9AA5E13A-251B-49DF-8CBD-9683201BB878}" presName="hierRoot1" presStyleCnt="0">
        <dgm:presLayoutVars>
          <dgm:hierBranch val="init"/>
        </dgm:presLayoutVars>
      </dgm:prSet>
      <dgm:spPr/>
    </dgm:pt>
    <dgm:pt modelId="{F5EB699F-1494-4668-982E-8E65961228C7}" type="pres">
      <dgm:prSet presAssocID="{9AA5E13A-251B-49DF-8CBD-9683201BB878}" presName="rootComposite1" presStyleCnt="0"/>
      <dgm:spPr/>
    </dgm:pt>
    <dgm:pt modelId="{EF0C2E1A-2DCB-4B22-A548-E997B693FB37}" type="pres">
      <dgm:prSet presAssocID="{9AA5E13A-251B-49DF-8CBD-9683201BB878}" presName="rootText1" presStyleLbl="node0" presStyleIdx="0" presStyleCnt="1">
        <dgm:presLayoutVars>
          <dgm:chPref val="3"/>
        </dgm:presLayoutVars>
      </dgm:prSet>
      <dgm:spPr/>
    </dgm:pt>
    <dgm:pt modelId="{05077847-DDA7-4275-9EAD-18EF8B68A5ED}" type="pres">
      <dgm:prSet presAssocID="{9AA5E13A-251B-49DF-8CBD-9683201BB878}" presName="rootConnector1" presStyleLbl="node1" presStyleIdx="0" presStyleCnt="0"/>
      <dgm:spPr/>
    </dgm:pt>
    <dgm:pt modelId="{0A6FB090-B3E2-4567-8ED3-3733E4DF8AF0}" type="pres">
      <dgm:prSet presAssocID="{9AA5E13A-251B-49DF-8CBD-9683201BB878}" presName="hierChild2" presStyleCnt="0"/>
      <dgm:spPr/>
    </dgm:pt>
    <dgm:pt modelId="{18DA0190-637D-4068-90B1-7F1C14C3DEE6}" type="pres">
      <dgm:prSet presAssocID="{126F4DE0-6957-40DF-9F32-FC02387163BA}" presName="Name37" presStyleLbl="parChTrans1D2" presStyleIdx="0" presStyleCnt="4"/>
      <dgm:spPr/>
    </dgm:pt>
    <dgm:pt modelId="{4C136A7C-F015-47AD-B8FF-9F443F128F24}" type="pres">
      <dgm:prSet presAssocID="{997E3259-A5F3-43A5-B120-7D40B6623472}" presName="hierRoot2" presStyleCnt="0">
        <dgm:presLayoutVars>
          <dgm:hierBranch val="init"/>
        </dgm:presLayoutVars>
      </dgm:prSet>
      <dgm:spPr/>
    </dgm:pt>
    <dgm:pt modelId="{0682710B-4546-4E8F-8DF0-77A90BDC1899}" type="pres">
      <dgm:prSet presAssocID="{997E3259-A5F3-43A5-B120-7D40B6623472}" presName="rootComposite" presStyleCnt="0"/>
      <dgm:spPr/>
    </dgm:pt>
    <dgm:pt modelId="{98CD93EE-6099-4274-9BEA-B1654B11A5EF}" type="pres">
      <dgm:prSet presAssocID="{997E3259-A5F3-43A5-B120-7D40B6623472}" presName="rootText" presStyleLbl="node2" presStyleIdx="0" presStyleCnt="3">
        <dgm:presLayoutVars>
          <dgm:chPref val="3"/>
        </dgm:presLayoutVars>
      </dgm:prSet>
      <dgm:spPr/>
    </dgm:pt>
    <dgm:pt modelId="{F1B49D04-B055-463D-BB26-BED50B8CCFA2}" type="pres">
      <dgm:prSet presAssocID="{997E3259-A5F3-43A5-B120-7D40B6623472}" presName="rootConnector" presStyleLbl="node2" presStyleIdx="0" presStyleCnt="3"/>
      <dgm:spPr/>
    </dgm:pt>
    <dgm:pt modelId="{8B2F3E3D-1936-4D99-AB69-8B8DBCAF55D7}" type="pres">
      <dgm:prSet presAssocID="{997E3259-A5F3-43A5-B120-7D40B6623472}" presName="hierChild4" presStyleCnt="0"/>
      <dgm:spPr/>
    </dgm:pt>
    <dgm:pt modelId="{45974234-E7D8-4F58-8765-AC421243D125}" type="pres">
      <dgm:prSet presAssocID="{997E3259-A5F3-43A5-B120-7D40B6623472}" presName="hierChild5" presStyleCnt="0"/>
      <dgm:spPr/>
    </dgm:pt>
    <dgm:pt modelId="{AE1C8F13-9994-48A6-81A8-D1AB8762850D}" type="pres">
      <dgm:prSet presAssocID="{FB96AE13-1B45-4FA1-9ADA-AB66ED3436EF}" presName="Name37" presStyleLbl="parChTrans1D2" presStyleIdx="1" presStyleCnt="4"/>
      <dgm:spPr/>
    </dgm:pt>
    <dgm:pt modelId="{CF02D21E-5522-442E-87F7-7CB52F185F00}" type="pres">
      <dgm:prSet presAssocID="{FEE61526-980A-4F59-A121-34EE1D451028}" presName="hierRoot2" presStyleCnt="0">
        <dgm:presLayoutVars>
          <dgm:hierBranch val="init"/>
        </dgm:presLayoutVars>
      </dgm:prSet>
      <dgm:spPr/>
    </dgm:pt>
    <dgm:pt modelId="{532EB5E9-79CB-4CD1-A1B4-AC6C5379BF02}" type="pres">
      <dgm:prSet presAssocID="{FEE61526-980A-4F59-A121-34EE1D451028}" presName="rootComposite" presStyleCnt="0"/>
      <dgm:spPr/>
    </dgm:pt>
    <dgm:pt modelId="{E9CA2285-8300-49D9-B07F-973FD4F33D2A}" type="pres">
      <dgm:prSet presAssocID="{FEE61526-980A-4F59-A121-34EE1D451028}" presName="rootText" presStyleLbl="node2" presStyleIdx="1" presStyleCnt="3">
        <dgm:presLayoutVars>
          <dgm:chPref val="3"/>
        </dgm:presLayoutVars>
      </dgm:prSet>
      <dgm:spPr/>
    </dgm:pt>
    <dgm:pt modelId="{C6349D47-F14C-47BB-9A53-332FD7640F8A}" type="pres">
      <dgm:prSet presAssocID="{FEE61526-980A-4F59-A121-34EE1D451028}" presName="rootConnector" presStyleLbl="node2" presStyleIdx="1" presStyleCnt="3"/>
      <dgm:spPr/>
    </dgm:pt>
    <dgm:pt modelId="{2EDDA66A-DFAC-41D1-B822-22A5088AAD41}" type="pres">
      <dgm:prSet presAssocID="{FEE61526-980A-4F59-A121-34EE1D451028}" presName="hierChild4" presStyleCnt="0"/>
      <dgm:spPr/>
    </dgm:pt>
    <dgm:pt modelId="{92078124-9478-4CD6-A063-2A9538FFB5D4}" type="pres">
      <dgm:prSet presAssocID="{FEE61526-980A-4F59-A121-34EE1D451028}" presName="hierChild5" presStyleCnt="0"/>
      <dgm:spPr/>
    </dgm:pt>
    <dgm:pt modelId="{6EDE581B-D33F-47A1-B9E4-5FE78FF5000C}" type="pres">
      <dgm:prSet presAssocID="{9C6894CB-EB1D-4527-AF58-8E07507EB1CD}" presName="Name37" presStyleLbl="parChTrans1D2" presStyleIdx="2" presStyleCnt="4"/>
      <dgm:spPr/>
    </dgm:pt>
    <dgm:pt modelId="{2F070B67-39BA-414C-A555-360F10BA946B}" type="pres">
      <dgm:prSet presAssocID="{C005566D-E61C-4094-8789-345A80A629AF}" presName="hierRoot2" presStyleCnt="0">
        <dgm:presLayoutVars>
          <dgm:hierBranch val="init"/>
        </dgm:presLayoutVars>
      </dgm:prSet>
      <dgm:spPr/>
    </dgm:pt>
    <dgm:pt modelId="{4A29BCEB-F49E-44E9-B525-E60D47511087}" type="pres">
      <dgm:prSet presAssocID="{C005566D-E61C-4094-8789-345A80A629AF}" presName="rootComposite" presStyleCnt="0"/>
      <dgm:spPr/>
    </dgm:pt>
    <dgm:pt modelId="{9E08C4CF-35CA-45D6-A70B-02FA18AC4CE5}" type="pres">
      <dgm:prSet presAssocID="{C005566D-E61C-4094-8789-345A80A629AF}" presName="rootText" presStyleLbl="node2" presStyleIdx="2" presStyleCnt="3">
        <dgm:presLayoutVars>
          <dgm:chPref val="3"/>
        </dgm:presLayoutVars>
      </dgm:prSet>
      <dgm:spPr/>
    </dgm:pt>
    <dgm:pt modelId="{64D0C762-0967-4874-B656-E701906E702D}" type="pres">
      <dgm:prSet presAssocID="{C005566D-E61C-4094-8789-345A80A629AF}" presName="rootConnector" presStyleLbl="node2" presStyleIdx="2" presStyleCnt="3"/>
      <dgm:spPr/>
    </dgm:pt>
    <dgm:pt modelId="{41E17B8F-21D3-4326-8A66-327109099F54}" type="pres">
      <dgm:prSet presAssocID="{C005566D-E61C-4094-8789-345A80A629AF}" presName="hierChild4" presStyleCnt="0"/>
      <dgm:spPr/>
    </dgm:pt>
    <dgm:pt modelId="{78BC60FB-44FF-4C0C-8C6B-12F3008DB5A7}" type="pres">
      <dgm:prSet presAssocID="{C005566D-E61C-4094-8789-345A80A629AF}" presName="hierChild5" presStyleCnt="0"/>
      <dgm:spPr/>
    </dgm:pt>
    <dgm:pt modelId="{0F50EC17-EC06-4092-9BCE-F94B1370E400}" type="pres">
      <dgm:prSet presAssocID="{9AA5E13A-251B-49DF-8CBD-9683201BB878}" presName="hierChild3" presStyleCnt="0"/>
      <dgm:spPr/>
    </dgm:pt>
    <dgm:pt modelId="{8C463A1C-A545-4973-9668-006134D000A2}" type="pres">
      <dgm:prSet presAssocID="{5B2FC0B3-7A3E-4D34-AADD-9FFC0F26B5B5}" presName="Name111" presStyleLbl="parChTrans1D2" presStyleIdx="3" presStyleCnt="4"/>
      <dgm:spPr/>
    </dgm:pt>
    <dgm:pt modelId="{D16171F0-8DD9-45A3-84A7-2B2F161980C9}" type="pres">
      <dgm:prSet presAssocID="{AF5A1719-2345-423E-88F4-503B8191CC7F}" presName="hierRoot3" presStyleCnt="0">
        <dgm:presLayoutVars>
          <dgm:hierBranch val="init"/>
        </dgm:presLayoutVars>
      </dgm:prSet>
      <dgm:spPr/>
    </dgm:pt>
    <dgm:pt modelId="{33B0BC28-008D-4E03-9916-8E4FC6FFA14A}" type="pres">
      <dgm:prSet presAssocID="{AF5A1719-2345-423E-88F4-503B8191CC7F}" presName="rootComposite3" presStyleCnt="0"/>
      <dgm:spPr/>
    </dgm:pt>
    <dgm:pt modelId="{70168978-9D29-486D-989F-615608E75003}" type="pres">
      <dgm:prSet presAssocID="{AF5A1719-2345-423E-88F4-503B8191CC7F}" presName="rootText3" presStyleLbl="asst1" presStyleIdx="0" presStyleCnt="1">
        <dgm:presLayoutVars>
          <dgm:chPref val="3"/>
        </dgm:presLayoutVars>
      </dgm:prSet>
      <dgm:spPr/>
    </dgm:pt>
    <dgm:pt modelId="{5277DFD5-91CE-4090-88A6-9415E924CAE4}" type="pres">
      <dgm:prSet presAssocID="{AF5A1719-2345-423E-88F4-503B8191CC7F}" presName="rootConnector3" presStyleLbl="asst1" presStyleIdx="0" presStyleCnt="1"/>
      <dgm:spPr/>
    </dgm:pt>
    <dgm:pt modelId="{B3262987-84E5-4E59-930C-07CA0A3F80E8}" type="pres">
      <dgm:prSet presAssocID="{AF5A1719-2345-423E-88F4-503B8191CC7F}" presName="hierChild6" presStyleCnt="0"/>
      <dgm:spPr/>
    </dgm:pt>
    <dgm:pt modelId="{E6462880-D5AD-461A-AA21-3C4AFF7BCE93}" type="pres">
      <dgm:prSet presAssocID="{AF5A1719-2345-423E-88F4-503B8191CC7F}" presName="hierChild7" presStyleCnt="0"/>
      <dgm:spPr/>
    </dgm:pt>
  </dgm:ptLst>
  <dgm:cxnLst>
    <dgm:cxn modelId="{0CED3F2B-0D24-456C-BA86-0F8F38A5D2B0}" type="presOf" srcId="{5B2FC0B3-7A3E-4D34-AADD-9FFC0F26B5B5}" destId="{8C463A1C-A545-4973-9668-006134D000A2}" srcOrd="0" destOrd="0" presId="urn:microsoft.com/office/officeart/2005/8/layout/orgChart1"/>
    <dgm:cxn modelId="{F9193B30-99C2-4E0D-AB5D-AC91D2F55178}" type="presOf" srcId="{9C6894CB-EB1D-4527-AF58-8E07507EB1CD}" destId="{6EDE581B-D33F-47A1-B9E4-5FE78FF5000C}" srcOrd="0" destOrd="0" presId="urn:microsoft.com/office/officeart/2005/8/layout/orgChart1"/>
    <dgm:cxn modelId="{B1A7253C-E74B-4091-B4A4-BD3E8D7197D4}" type="presOf" srcId="{FEE61526-980A-4F59-A121-34EE1D451028}" destId="{E9CA2285-8300-49D9-B07F-973FD4F33D2A}" srcOrd="0" destOrd="0" presId="urn:microsoft.com/office/officeart/2005/8/layout/orgChart1"/>
    <dgm:cxn modelId="{C0E2CE66-A415-4ED8-AA3C-D2B0E2B800F0}" type="presOf" srcId="{AF5A1719-2345-423E-88F4-503B8191CC7F}" destId="{70168978-9D29-486D-989F-615608E75003}" srcOrd="0" destOrd="0" presId="urn:microsoft.com/office/officeart/2005/8/layout/orgChart1"/>
    <dgm:cxn modelId="{4C7BB16A-28CF-4F6B-B57D-2C5BA02EE828}" type="presOf" srcId="{126F4DE0-6957-40DF-9F32-FC02387163BA}" destId="{18DA0190-637D-4068-90B1-7F1C14C3DEE6}" srcOrd="0" destOrd="0" presId="urn:microsoft.com/office/officeart/2005/8/layout/orgChart1"/>
    <dgm:cxn modelId="{37BFAC6E-D874-4F2C-A103-A83A8D8BB58E}" srcId="{9AA5E13A-251B-49DF-8CBD-9683201BB878}" destId="{AF5A1719-2345-423E-88F4-503B8191CC7F}" srcOrd="0" destOrd="0" parTransId="{5B2FC0B3-7A3E-4D34-AADD-9FFC0F26B5B5}" sibTransId="{8A142BD7-2397-4DBD-8801-55FAE580A255}"/>
    <dgm:cxn modelId="{50B2657B-FC14-4B46-91EE-99C19C9D0BE0}" srcId="{9AA5E13A-251B-49DF-8CBD-9683201BB878}" destId="{C005566D-E61C-4094-8789-345A80A629AF}" srcOrd="3" destOrd="0" parTransId="{9C6894CB-EB1D-4527-AF58-8E07507EB1CD}" sibTransId="{B53309B7-E787-4579-85BA-FAE914DE21CE}"/>
    <dgm:cxn modelId="{F7C7BC7F-6690-494E-8BB1-186A587AD9A5}" srcId="{010D5980-81B7-4DB8-B75F-6B96029A5FD4}" destId="{9AA5E13A-251B-49DF-8CBD-9683201BB878}" srcOrd="0" destOrd="0" parTransId="{A2C00C84-9209-42D6-84C5-9063D0F26BA4}" sibTransId="{F1D8C2CE-80D5-4365-BB02-AA29A1AC1CAB}"/>
    <dgm:cxn modelId="{E022E980-02CF-4B39-9DCB-C4D391D73DB0}" srcId="{9AA5E13A-251B-49DF-8CBD-9683201BB878}" destId="{FEE61526-980A-4F59-A121-34EE1D451028}" srcOrd="2" destOrd="0" parTransId="{FB96AE13-1B45-4FA1-9ADA-AB66ED3436EF}" sibTransId="{5BBD8B44-A1C3-4625-AE88-EE9D577AA03F}"/>
    <dgm:cxn modelId="{A05367A2-57B7-4679-BDFA-1C6B641F4732}" srcId="{9AA5E13A-251B-49DF-8CBD-9683201BB878}" destId="{997E3259-A5F3-43A5-B120-7D40B6623472}" srcOrd="1" destOrd="0" parTransId="{126F4DE0-6957-40DF-9F32-FC02387163BA}" sibTransId="{165DA0C1-20DA-4D5F-AB7A-D1DE839359AF}"/>
    <dgm:cxn modelId="{4FB1D0A2-4A20-40C4-8622-D7042FF9D817}" type="presOf" srcId="{C005566D-E61C-4094-8789-345A80A629AF}" destId="{64D0C762-0967-4874-B656-E701906E702D}" srcOrd="1" destOrd="0" presId="urn:microsoft.com/office/officeart/2005/8/layout/orgChart1"/>
    <dgm:cxn modelId="{08EEBAB9-B3CA-4492-85AB-567371792082}" type="presOf" srcId="{997E3259-A5F3-43A5-B120-7D40B6623472}" destId="{F1B49D04-B055-463D-BB26-BED50B8CCFA2}" srcOrd="1" destOrd="0" presId="urn:microsoft.com/office/officeart/2005/8/layout/orgChart1"/>
    <dgm:cxn modelId="{A6C485C5-6F0E-4236-9FA3-6FEAEC100EEA}" type="presOf" srcId="{9AA5E13A-251B-49DF-8CBD-9683201BB878}" destId="{05077847-DDA7-4275-9EAD-18EF8B68A5ED}" srcOrd="1" destOrd="0" presId="urn:microsoft.com/office/officeart/2005/8/layout/orgChart1"/>
    <dgm:cxn modelId="{B108DECA-0664-421F-9017-94EFED2F54FA}" type="presOf" srcId="{997E3259-A5F3-43A5-B120-7D40B6623472}" destId="{98CD93EE-6099-4274-9BEA-B1654B11A5EF}" srcOrd="0" destOrd="0" presId="urn:microsoft.com/office/officeart/2005/8/layout/orgChart1"/>
    <dgm:cxn modelId="{00D8F5D8-60AA-42A4-B409-CAA88AFF90EA}" type="presOf" srcId="{C005566D-E61C-4094-8789-345A80A629AF}" destId="{9E08C4CF-35CA-45D6-A70B-02FA18AC4CE5}" srcOrd="0" destOrd="0" presId="urn:microsoft.com/office/officeart/2005/8/layout/orgChart1"/>
    <dgm:cxn modelId="{E6AC5BDC-2433-45C8-A6C8-16310BAB42A1}" type="presOf" srcId="{AF5A1719-2345-423E-88F4-503B8191CC7F}" destId="{5277DFD5-91CE-4090-88A6-9415E924CAE4}" srcOrd="1" destOrd="0" presId="urn:microsoft.com/office/officeart/2005/8/layout/orgChart1"/>
    <dgm:cxn modelId="{3D07CAE4-A7AD-416B-A047-DB8BBED88418}" type="presOf" srcId="{FEE61526-980A-4F59-A121-34EE1D451028}" destId="{C6349D47-F14C-47BB-9A53-332FD7640F8A}" srcOrd="1" destOrd="0" presId="urn:microsoft.com/office/officeart/2005/8/layout/orgChart1"/>
    <dgm:cxn modelId="{85CE4AE5-1877-4898-AECE-41B646E52DC6}" type="presOf" srcId="{9AA5E13A-251B-49DF-8CBD-9683201BB878}" destId="{EF0C2E1A-2DCB-4B22-A548-E997B693FB37}" srcOrd="0" destOrd="0" presId="urn:microsoft.com/office/officeart/2005/8/layout/orgChart1"/>
    <dgm:cxn modelId="{1F1129F8-56D5-4FD0-AA3A-DE23F19A2CB8}" type="presOf" srcId="{010D5980-81B7-4DB8-B75F-6B96029A5FD4}" destId="{A1F2C8DF-EEA4-4A8E-86A7-425904232B39}" srcOrd="0" destOrd="0" presId="urn:microsoft.com/office/officeart/2005/8/layout/orgChart1"/>
    <dgm:cxn modelId="{DE76C3FE-4C18-453B-B553-E60C5CD22553}" type="presOf" srcId="{FB96AE13-1B45-4FA1-9ADA-AB66ED3436EF}" destId="{AE1C8F13-9994-48A6-81A8-D1AB8762850D}" srcOrd="0" destOrd="0" presId="urn:microsoft.com/office/officeart/2005/8/layout/orgChart1"/>
    <dgm:cxn modelId="{E664CA9B-311F-4EF1-98A3-AF7493751307}" type="presParOf" srcId="{A1F2C8DF-EEA4-4A8E-86A7-425904232B39}" destId="{94DBA376-46AF-4EFB-8139-5D9F23C38732}" srcOrd="0" destOrd="0" presId="urn:microsoft.com/office/officeart/2005/8/layout/orgChart1"/>
    <dgm:cxn modelId="{E6A50720-90F7-438D-8966-BFEABE855DD0}" type="presParOf" srcId="{94DBA376-46AF-4EFB-8139-5D9F23C38732}" destId="{F5EB699F-1494-4668-982E-8E65961228C7}" srcOrd="0" destOrd="0" presId="urn:microsoft.com/office/officeart/2005/8/layout/orgChart1"/>
    <dgm:cxn modelId="{EFA2F13C-258A-4080-9600-08BF93FCAF84}" type="presParOf" srcId="{F5EB699F-1494-4668-982E-8E65961228C7}" destId="{EF0C2E1A-2DCB-4B22-A548-E997B693FB37}" srcOrd="0" destOrd="0" presId="urn:microsoft.com/office/officeart/2005/8/layout/orgChart1"/>
    <dgm:cxn modelId="{793C7A15-5342-4586-B90B-BF160722951F}" type="presParOf" srcId="{F5EB699F-1494-4668-982E-8E65961228C7}" destId="{05077847-DDA7-4275-9EAD-18EF8B68A5ED}" srcOrd="1" destOrd="0" presId="urn:microsoft.com/office/officeart/2005/8/layout/orgChart1"/>
    <dgm:cxn modelId="{995FE13C-4801-4160-A9AA-061A70F353A4}" type="presParOf" srcId="{94DBA376-46AF-4EFB-8139-5D9F23C38732}" destId="{0A6FB090-B3E2-4567-8ED3-3733E4DF8AF0}" srcOrd="1" destOrd="0" presId="urn:microsoft.com/office/officeart/2005/8/layout/orgChart1"/>
    <dgm:cxn modelId="{E7F35106-808F-4C96-9BCC-226B608B79BE}" type="presParOf" srcId="{0A6FB090-B3E2-4567-8ED3-3733E4DF8AF0}" destId="{18DA0190-637D-4068-90B1-7F1C14C3DEE6}" srcOrd="0" destOrd="0" presId="urn:microsoft.com/office/officeart/2005/8/layout/orgChart1"/>
    <dgm:cxn modelId="{FD6D980B-292D-4727-B1B3-F78479B4843D}" type="presParOf" srcId="{0A6FB090-B3E2-4567-8ED3-3733E4DF8AF0}" destId="{4C136A7C-F015-47AD-B8FF-9F443F128F24}" srcOrd="1" destOrd="0" presId="urn:microsoft.com/office/officeart/2005/8/layout/orgChart1"/>
    <dgm:cxn modelId="{DAFF8656-86EB-40CC-9A13-59B211777E88}" type="presParOf" srcId="{4C136A7C-F015-47AD-B8FF-9F443F128F24}" destId="{0682710B-4546-4E8F-8DF0-77A90BDC1899}" srcOrd="0" destOrd="0" presId="urn:microsoft.com/office/officeart/2005/8/layout/orgChart1"/>
    <dgm:cxn modelId="{3A77F85E-3FE8-4AB3-B99B-B3F44154EEF5}" type="presParOf" srcId="{0682710B-4546-4E8F-8DF0-77A90BDC1899}" destId="{98CD93EE-6099-4274-9BEA-B1654B11A5EF}" srcOrd="0" destOrd="0" presId="urn:microsoft.com/office/officeart/2005/8/layout/orgChart1"/>
    <dgm:cxn modelId="{44C808FA-B938-429A-8692-1F1ED2BF3902}" type="presParOf" srcId="{0682710B-4546-4E8F-8DF0-77A90BDC1899}" destId="{F1B49D04-B055-463D-BB26-BED50B8CCFA2}" srcOrd="1" destOrd="0" presId="urn:microsoft.com/office/officeart/2005/8/layout/orgChart1"/>
    <dgm:cxn modelId="{F774F9D7-4F46-4314-872E-34F75C28AD42}" type="presParOf" srcId="{4C136A7C-F015-47AD-B8FF-9F443F128F24}" destId="{8B2F3E3D-1936-4D99-AB69-8B8DBCAF55D7}" srcOrd="1" destOrd="0" presId="urn:microsoft.com/office/officeart/2005/8/layout/orgChart1"/>
    <dgm:cxn modelId="{486655D6-EBF3-4C9A-AEC5-62D21B1D3671}" type="presParOf" srcId="{4C136A7C-F015-47AD-B8FF-9F443F128F24}" destId="{45974234-E7D8-4F58-8765-AC421243D125}" srcOrd="2" destOrd="0" presId="urn:microsoft.com/office/officeart/2005/8/layout/orgChart1"/>
    <dgm:cxn modelId="{982ABBB0-3131-47F8-88B1-2A8B2D151CCD}" type="presParOf" srcId="{0A6FB090-B3E2-4567-8ED3-3733E4DF8AF0}" destId="{AE1C8F13-9994-48A6-81A8-D1AB8762850D}" srcOrd="2" destOrd="0" presId="urn:microsoft.com/office/officeart/2005/8/layout/orgChart1"/>
    <dgm:cxn modelId="{6D52AACA-88ED-49E5-90BE-A109F23A396E}" type="presParOf" srcId="{0A6FB090-B3E2-4567-8ED3-3733E4DF8AF0}" destId="{CF02D21E-5522-442E-87F7-7CB52F185F00}" srcOrd="3" destOrd="0" presId="urn:microsoft.com/office/officeart/2005/8/layout/orgChart1"/>
    <dgm:cxn modelId="{98D25BFE-D3F5-43C2-AC25-ECCBF3E7CA37}" type="presParOf" srcId="{CF02D21E-5522-442E-87F7-7CB52F185F00}" destId="{532EB5E9-79CB-4CD1-A1B4-AC6C5379BF02}" srcOrd="0" destOrd="0" presId="urn:microsoft.com/office/officeart/2005/8/layout/orgChart1"/>
    <dgm:cxn modelId="{E8D4E575-25F7-4CF6-A211-D52E52103D41}" type="presParOf" srcId="{532EB5E9-79CB-4CD1-A1B4-AC6C5379BF02}" destId="{E9CA2285-8300-49D9-B07F-973FD4F33D2A}" srcOrd="0" destOrd="0" presId="urn:microsoft.com/office/officeart/2005/8/layout/orgChart1"/>
    <dgm:cxn modelId="{6C7123A9-7DF8-4047-B971-0A8BABA5E811}" type="presParOf" srcId="{532EB5E9-79CB-4CD1-A1B4-AC6C5379BF02}" destId="{C6349D47-F14C-47BB-9A53-332FD7640F8A}" srcOrd="1" destOrd="0" presId="urn:microsoft.com/office/officeart/2005/8/layout/orgChart1"/>
    <dgm:cxn modelId="{C6E5997D-0CF3-4B13-AACC-3CF86EE86D91}" type="presParOf" srcId="{CF02D21E-5522-442E-87F7-7CB52F185F00}" destId="{2EDDA66A-DFAC-41D1-B822-22A5088AAD41}" srcOrd="1" destOrd="0" presId="urn:microsoft.com/office/officeart/2005/8/layout/orgChart1"/>
    <dgm:cxn modelId="{4755A241-369E-49A8-A436-92A7DE80C547}" type="presParOf" srcId="{CF02D21E-5522-442E-87F7-7CB52F185F00}" destId="{92078124-9478-4CD6-A063-2A9538FFB5D4}" srcOrd="2" destOrd="0" presId="urn:microsoft.com/office/officeart/2005/8/layout/orgChart1"/>
    <dgm:cxn modelId="{EF626FA2-3101-4606-BC92-D27B45ED56E8}" type="presParOf" srcId="{0A6FB090-B3E2-4567-8ED3-3733E4DF8AF0}" destId="{6EDE581B-D33F-47A1-B9E4-5FE78FF5000C}" srcOrd="4" destOrd="0" presId="urn:microsoft.com/office/officeart/2005/8/layout/orgChart1"/>
    <dgm:cxn modelId="{6D7778ED-D2AA-4EC1-B20C-F6540E454E13}" type="presParOf" srcId="{0A6FB090-B3E2-4567-8ED3-3733E4DF8AF0}" destId="{2F070B67-39BA-414C-A555-360F10BA946B}" srcOrd="5" destOrd="0" presId="urn:microsoft.com/office/officeart/2005/8/layout/orgChart1"/>
    <dgm:cxn modelId="{5062C53B-7A22-4207-8AEB-9B2BA17AA1A9}" type="presParOf" srcId="{2F070B67-39BA-414C-A555-360F10BA946B}" destId="{4A29BCEB-F49E-44E9-B525-E60D47511087}" srcOrd="0" destOrd="0" presId="urn:microsoft.com/office/officeart/2005/8/layout/orgChart1"/>
    <dgm:cxn modelId="{6FB5CC95-A044-4137-84F9-EA9F6024E1F5}" type="presParOf" srcId="{4A29BCEB-F49E-44E9-B525-E60D47511087}" destId="{9E08C4CF-35CA-45D6-A70B-02FA18AC4CE5}" srcOrd="0" destOrd="0" presId="urn:microsoft.com/office/officeart/2005/8/layout/orgChart1"/>
    <dgm:cxn modelId="{51AA45B9-378B-4A90-809E-9AE66B0C7792}" type="presParOf" srcId="{4A29BCEB-F49E-44E9-B525-E60D47511087}" destId="{64D0C762-0967-4874-B656-E701906E702D}" srcOrd="1" destOrd="0" presId="urn:microsoft.com/office/officeart/2005/8/layout/orgChart1"/>
    <dgm:cxn modelId="{F6DF55E6-506B-4152-BFC9-434C835093E8}" type="presParOf" srcId="{2F070B67-39BA-414C-A555-360F10BA946B}" destId="{41E17B8F-21D3-4326-8A66-327109099F54}" srcOrd="1" destOrd="0" presId="urn:microsoft.com/office/officeart/2005/8/layout/orgChart1"/>
    <dgm:cxn modelId="{B60E2CBD-0B52-4816-BE12-5AFC99C51D5D}" type="presParOf" srcId="{2F070B67-39BA-414C-A555-360F10BA946B}" destId="{78BC60FB-44FF-4C0C-8C6B-12F3008DB5A7}" srcOrd="2" destOrd="0" presId="urn:microsoft.com/office/officeart/2005/8/layout/orgChart1"/>
    <dgm:cxn modelId="{47FC0A78-C210-4CF2-8DCD-BD9C5F55D28A}" type="presParOf" srcId="{94DBA376-46AF-4EFB-8139-5D9F23C38732}" destId="{0F50EC17-EC06-4092-9BCE-F94B1370E400}" srcOrd="2" destOrd="0" presId="urn:microsoft.com/office/officeart/2005/8/layout/orgChart1"/>
    <dgm:cxn modelId="{C3F83537-0869-4C1A-94FF-67E98DD958F6}" type="presParOf" srcId="{0F50EC17-EC06-4092-9BCE-F94B1370E400}" destId="{8C463A1C-A545-4973-9668-006134D000A2}" srcOrd="0" destOrd="0" presId="urn:microsoft.com/office/officeart/2005/8/layout/orgChart1"/>
    <dgm:cxn modelId="{D488BD97-256A-4EB4-810D-9468FB6E2DB7}" type="presParOf" srcId="{0F50EC17-EC06-4092-9BCE-F94B1370E400}" destId="{D16171F0-8DD9-45A3-84A7-2B2F161980C9}" srcOrd="1" destOrd="0" presId="urn:microsoft.com/office/officeart/2005/8/layout/orgChart1"/>
    <dgm:cxn modelId="{55E2D106-CFCC-42E1-AB4F-A39CEC798982}" type="presParOf" srcId="{D16171F0-8DD9-45A3-84A7-2B2F161980C9}" destId="{33B0BC28-008D-4E03-9916-8E4FC6FFA14A}" srcOrd="0" destOrd="0" presId="urn:microsoft.com/office/officeart/2005/8/layout/orgChart1"/>
    <dgm:cxn modelId="{3F1EA31E-EB70-4049-820C-D65E858A4BAA}" type="presParOf" srcId="{33B0BC28-008D-4E03-9916-8E4FC6FFA14A}" destId="{70168978-9D29-486D-989F-615608E75003}" srcOrd="0" destOrd="0" presId="urn:microsoft.com/office/officeart/2005/8/layout/orgChart1"/>
    <dgm:cxn modelId="{52934505-567F-4A82-A37C-9B4FC98ED6CC}" type="presParOf" srcId="{33B0BC28-008D-4E03-9916-8E4FC6FFA14A}" destId="{5277DFD5-91CE-4090-88A6-9415E924CAE4}" srcOrd="1" destOrd="0" presId="urn:microsoft.com/office/officeart/2005/8/layout/orgChart1"/>
    <dgm:cxn modelId="{342EDD8F-FBD5-48C7-B3AC-3D7B88112C86}" type="presParOf" srcId="{D16171F0-8DD9-45A3-84A7-2B2F161980C9}" destId="{B3262987-84E5-4E59-930C-07CA0A3F80E8}" srcOrd="1" destOrd="0" presId="urn:microsoft.com/office/officeart/2005/8/layout/orgChart1"/>
    <dgm:cxn modelId="{700765A9-BCE2-4034-B029-95152F8597D7}" type="presParOf" srcId="{D16171F0-8DD9-45A3-84A7-2B2F161980C9}" destId="{E6462880-D5AD-461A-AA21-3C4AFF7BCE9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463A1C-A545-4973-9668-006134D000A2}">
      <dsp:nvSpPr>
        <dsp:cNvPr id="0" name=""/>
        <dsp:cNvSpPr/>
      </dsp:nvSpPr>
      <dsp:spPr>
        <a:xfrm>
          <a:off x="2574780" y="105667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E581B-D33F-47A1-B9E4-5FE78FF5000C}">
      <dsp:nvSpPr>
        <dsp:cNvPr id="0" name=""/>
        <dsp:cNvSpPr/>
      </dsp:nvSpPr>
      <dsp:spPr>
        <a:xfrm>
          <a:off x="2743200" y="105667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C8F13-9994-48A6-81A8-D1AB8762850D}">
      <dsp:nvSpPr>
        <dsp:cNvPr id="0" name=""/>
        <dsp:cNvSpPr/>
      </dsp:nvSpPr>
      <dsp:spPr>
        <a:xfrm>
          <a:off x="2697479" y="105667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DA0190-637D-4068-90B1-7F1C14C3DEE6}">
      <dsp:nvSpPr>
        <dsp:cNvPr id="0" name=""/>
        <dsp:cNvSpPr/>
      </dsp:nvSpPr>
      <dsp:spPr>
        <a:xfrm>
          <a:off x="802365" y="105667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0C2E1A-2DCB-4B22-A548-E997B693FB37}">
      <dsp:nvSpPr>
        <dsp:cNvPr id="0" name=""/>
        <dsp:cNvSpPr/>
      </dsp:nvSpPr>
      <dsp:spPr>
        <a:xfrm>
          <a:off x="1941202" y="254674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Инвестиционные финансовые риски</a:t>
          </a:r>
        </a:p>
      </dsp:txBody>
      <dsp:txXfrm>
        <a:off x="1941202" y="254674"/>
        <a:ext cx="1603995" cy="801997"/>
      </dsp:txXfrm>
    </dsp:sp>
    <dsp:sp modelId="{98CD93EE-6099-4274-9BEA-B1654B11A5EF}">
      <dsp:nvSpPr>
        <dsp:cNvPr id="0" name=""/>
        <dsp:cNvSpPr/>
      </dsp:nvSpPr>
      <dsp:spPr>
        <a:xfrm>
          <a:off x="368" y="2532347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Кредитный риск</a:t>
          </a:r>
        </a:p>
      </dsp:txBody>
      <dsp:txXfrm>
        <a:off x="368" y="2532347"/>
        <a:ext cx="1603995" cy="801997"/>
      </dsp:txXfrm>
    </dsp:sp>
    <dsp:sp modelId="{E9CA2285-8300-49D9-B07F-973FD4F33D2A}">
      <dsp:nvSpPr>
        <dsp:cNvPr id="0" name=""/>
        <dsp:cNvSpPr/>
      </dsp:nvSpPr>
      <dsp:spPr>
        <a:xfrm>
          <a:off x="1941202" y="2532347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Процентный риск</a:t>
          </a:r>
        </a:p>
      </dsp:txBody>
      <dsp:txXfrm>
        <a:off x="1941202" y="2532347"/>
        <a:ext cx="1603995" cy="801997"/>
      </dsp:txXfrm>
    </dsp:sp>
    <dsp:sp modelId="{9E08C4CF-35CA-45D6-A70B-02FA18AC4CE5}">
      <dsp:nvSpPr>
        <dsp:cNvPr id="0" name=""/>
        <dsp:cNvSpPr/>
      </dsp:nvSpPr>
      <dsp:spPr>
        <a:xfrm>
          <a:off x="3882036" y="2532347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Депозитный риск</a:t>
          </a:r>
        </a:p>
      </dsp:txBody>
      <dsp:txXfrm>
        <a:off x="3882036" y="2532347"/>
        <a:ext cx="1603995" cy="801997"/>
      </dsp:txXfrm>
    </dsp:sp>
    <dsp:sp modelId="{70168978-9D29-486D-989F-615608E75003}">
      <dsp:nvSpPr>
        <dsp:cNvPr id="0" name=""/>
        <dsp:cNvSpPr/>
      </dsp:nvSpPr>
      <dsp:spPr>
        <a:xfrm>
          <a:off x="970785" y="1393511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Налоговый риск</a:t>
          </a:r>
        </a:p>
      </dsp:txBody>
      <dsp:txXfrm>
        <a:off x="970785" y="139351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Ivan V.</cp:lastModifiedBy>
  <cp:revision>5</cp:revision>
  <cp:lastPrinted>2024-01-06T15:07:00Z</cp:lastPrinted>
  <dcterms:created xsi:type="dcterms:W3CDTF">2024-02-14T04:06:00Z</dcterms:created>
  <dcterms:modified xsi:type="dcterms:W3CDTF">2025-01-19T05:32:00Z</dcterms:modified>
</cp:coreProperties>
</file>