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31786658" w:displacedByCustomXml="next"/>
    <w:sdt>
      <w:sdtP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id w:val="-1050686810"/>
        <w:docPartObj>
          <w:docPartGallery w:val="Table of Contents"/>
          <w:docPartUnique/>
        </w:docPartObj>
      </w:sdtPr>
      <w:sdtEndPr/>
      <w:sdtContent>
        <w:p w14:paraId="056F0201" w14:textId="31AB9586" w:rsidR="00484EA9" w:rsidRPr="00DE5D30" w:rsidRDefault="009036A9" w:rsidP="00D9263B">
          <w:pPr>
            <w:pStyle w:val="ab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DE5D30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599F96A1" w14:textId="1143518A" w:rsidR="008A5B20" w:rsidRPr="00DE5D30" w:rsidRDefault="00484EA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r w:rsidRPr="00DE5D30">
            <w:rPr>
              <w:rFonts w:cs="Times New Roman"/>
              <w:b/>
              <w:bCs/>
              <w:szCs w:val="28"/>
            </w:rPr>
            <w:fldChar w:fldCharType="begin"/>
          </w:r>
          <w:r w:rsidRPr="00DE5D30">
            <w:rPr>
              <w:rFonts w:cs="Times New Roman"/>
              <w:b/>
              <w:bCs/>
              <w:szCs w:val="28"/>
            </w:rPr>
            <w:instrText xml:space="preserve"> TOC \o "1-3" \h \z \u </w:instrText>
          </w:r>
          <w:r w:rsidRPr="00DE5D30">
            <w:rPr>
              <w:rFonts w:cs="Times New Roman"/>
              <w:b/>
              <w:bCs/>
              <w:szCs w:val="28"/>
            </w:rPr>
            <w:fldChar w:fldCharType="separate"/>
          </w:r>
          <w:hyperlink w:anchor="_Toc163300223" w:history="1">
            <w:r w:rsidR="008A5B20" w:rsidRPr="00DE5D30">
              <w:rPr>
                <w:rStyle w:val="ac"/>
                <w:rFonts w:cs="Times New Roman"/>
                <w:noProof/>
              </w:rPr>
              <w:t>Введение</w:t>
            </w:r>
            <w:r w:rsidR="008A5B20" w:rsidRPr="00DE5D30">
              <w:rPr>
                <w:noProof/>
                <w:webHidden/>
              </w:rPr>
              <w:tab/>
            </w:r>
            <w:r w:rsidR="008A5B20" w:rsidRPr="00DE5D30">
              <w:rPr>
                <w:noProof/>
                <w:webHidden/>
              </w:rPr>
              <w:fldChar w:fldCharType="begin"/>
            </w:r>
            <w:r w:rsidR="008A5B20" w:rsidRPr="00DE5D30">
              <w:rPr>
                <w:noProof/>
                <w:webHidden/>
              </w:rPr>
              <w:instrText xml:space="preserve"> PAGEREF _Toc163300223 \h </w:instrText>
            </w:r>
            <w:r w:rsidR="008A5B20" w:rsidRPr="00DE5D30">
              <w:rPr>
                <w:noProof/>
                <w:webHidden/>
              </w:rPr>
            </w:r>
            <w:r w:rsidR="008A5B20" w:rsidRPr="00DE5D30">
              <w:rPr>
                <w:noProof/>
                <w:webHidden/>
              </w:rPr>
              <w:fldChar w:fldCharType="separate"/>
            </w:r>
            <w:r w:rsidR="00A26E06" w:rsidRPr="00DE5D30">
              <w:rPr>
                <w:noProof/>
                <w:webHidden/>
              </w:rPr>
              <w:t>3</w:t>
            </w:r>
            <w:r w:rsidR="008A5B20" w:rsidRPr="00DE5D30">
              <w:rPr>
                <w:noProof/>
                <w:webHidden/>
              </w:rPr>
              <w:fldChar w:fldCharType="end"/>
            </w:r>
          </w:hyperlink>
        </w:p>
        <w:p w14:paraId="5A628284" w14:textId="6D40F846" w:rsidR="008A5B20" w:rsidRPr="00DE5D30" w:rsidRDefault="00CD4C2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63300224" w:history="1">
            <w:r w:rsidR="008A5B20" w:rsidRPr="00DE5D30">
              <w:rPr>
                <w:rStyle w:val="ac"/>
                <w:rFonts w:cs="Times New Roman"/>
                <w:noProof/>
              </w:rPr>
              <w:t xml:space="preserve">ГЛАВА 1. </w:t>
            </w:r>
            <w:bookmarkStart w:id="1" w:name="_Hlk166513184"/>
            <w:r w:rsidR="008A5B20" w:rsidRPr="00DE5D30">
              <w:rPr>
                <w:rStyle w:val="ac"/>
                <w:rFonts w:cs="Times New Roman"/>
                <w:noProof/>
              </w:rPr>
              <w:t>ПРОВОКАЦИЯ ПРЕСТУПЛЕНИЯ КАК ОСНОВАНИЕ ДЛЯ ПРИЗНАНИЯ ДОКАЗАТЕЛЬСТВ НЕДОПУСТИМЫМИ В РОССИЙСКОМ УГОЛОВНОМ ПРОЦЕССЕ</w:t>
            </w:r>
            <w:bookmarkEnd w:id="1"/>
            <w:r w:rsidR="008A5B20" w:rsidRPr="00DE5D30">
              <w:rPr>
                <w:noProof/>
                <w:webHidden/>
              </w:rPr>
              <w:tab/>
            </w:r>
            <w:r w:rsidR="008A5B20" w:rsidRPr="00DE5D30">
              <w:rPr>
                <w:noProof/>
                <w:webHidden/>
              </w:rPr>
              <w:fldChar w:fldCharType="begin"/>
            </w:r>
            <w:r w:rsidR="008A5B20" w:rsidRPr="00DE5D30">
              <w:rPr>
                <w:noProof/>
                <w:webHidden/>
              </w:rPr>
              <w:instrText xml:space="preserve"> PAGEREF _Toc163300224 \h </w:instrText>
            </w:r>
            <w:r w:rsidR="008A5B20" w:rsidRPr="00DE5D30">
              <w:rPr>
                <w:noProof/>
                <w:webHidden/>
              </w:rPr>
            </w:r>
            <w:r w:rsidR="008A5B20" w:rsidRPr="00DE5D30">
              <w:rPr>
                <w:noProof/>
                <w:webHidden/>
              </w:rPr>
              <w:fldChar w:fldCharType="separate"/>
            </w:r>
            <w:r w:rsidR="00A26E06" w:rsidRPr="00DE5D30">
              <w:rPr>
                <w:noProof/>
                <w:webHidden/>
              </w:rPr>
              <w:t>6</w:t>
            </w:r>
            <w:r w:rsidR="008A5B20" w:rsidRPr="00DE5D30">
              <w:rPr>
                <w:noProof/>
                <w:webHidden/>
              </w:rPr>
              <w:fldChar w:fldCharType="end"/>
            </w:r>
          </w:hyperlink>
        </w:p>
        <w:p w14:paraId="1035EE9A" w14:textId="23A4105C" w:rsidR="008A5B20" w:rsidRPr="00DE5D30" w:rsidRDefault="00CD4C2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63300225" w:history="1">
            <w:r w:rsidR="008A5B20" w:rsidRPr="00DE5D30">
              <w:rPr>
                <w:rStyle w:val="ac"/>
                <w:rFonts w:cs="Times New Roman"/>
                <w:noProof/>
              </w:rPr>
              <w:t xml:space="preserve">§1.1 </w:t>
            </w:r>
            <w:r w:rsidR="008A5B20" w:rsidRPr="00DE5D30">
              <w:rPr>
                <w:rStyle w:val="ac"/>
                <w:rFonts w:cs="Times New Roman"/>
                <w:noProof/>
                <w:shd w:val="clear" w:color="auto" w:fill="FFFFFF"/>
              </w:rPr>
              <w:t>Понятие и природа недопустимости доказательств</w:t>
            </w:r>
            <w:r w:rsidR="008A5B20" w:rsidRPr="00DE5D30">
              <w:rPr>
                <w:noProof/>
                <w:webHidden/>
              </w:rPr>
              <w:tab/>
            </w:r>
            <w:r w:rsidR="008A5B20" w:rsidRPr="00DE5D30">
              <w:rPr>
                <w:noProof/>
                <w:webHidden/>
              </w:rPr>
              <w:fldChar w:fldCharType="begin"/>
            </w:r>
            <w:r w:rsidR="008A5B20" w:rsidRPr="00DE5D30">
              <w:rPr>
                <w:noProof/>
                <w:webHidden/>
              </w:rPr>
              <w:instrText xml:space="preserve"> PAGEREF _Toc163300225 \h </w:instrText>
            </w:r>
            <w:r w:rsidR="008A5B20" w:rsidRPr="00DE5D30">
              <w:rPr>
                <w:noProof/>
                <w:webHidden/>
              </w:rPr>
            </w:r>
            <w:r w:rsidR="008A5B20" w:rsidRPr="00DE5D30">
              <w:rPr>
                <w:noProof/>
                <w:webHidden/>
              </w:rPr>
              <w:fldChar w:fldCharType="separate"/>
            </w:r>
            <w:r w:rsidR="00A26E06" w:rsidRPr="00DE5D30">
              <w:rPr>
                <w:noProof/>
                <w:webHidden/>
              </w:rPr>
              <w:t>6</w:t>
            </w:r>
            <w:r w:rsidR="008A5B20" w:rsidRPr="00DE5D30">
              <w:rPr>
                <w:noProof/>
                <w:webHidden/>
              </w:rPr>
              <w:fldChar w:fldCharType="end"/>
            </w:r>
          </w:hyperlink>
        </w:p>
        <w:p w14:paraId="000F4BF6" w14:textId="7DAC19B2" w:rsidR="008A5B20" w:rsidRPr="00DE5D30" w:rsidRDefault="00CD4C2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63300226" w:history="1">
            <w:r w:rsidR="008A5B20" w:rsidRPr="00DE5D30">
              <w:rPr>
                <w:rStyle w:val="ac"/>
                <w:rFonts w:cs="Times New Roman"/>
                <w:noProof/>
              </w:rPr>
              <w:t>§ 1.2 Понятие и природа провокации в уголовном процессе</w:t>
            </w:r>
            <w:r w:rsidR="008A5B20" w:rsidRPr="00DE5D30">
              <w:rPr>
                <w:noProof/>
                <w:webHidden/>
              </w:rPr>
              <w:tab/>
            </w:r>
            <w:r w:rsidR="008A5B20" w:rsidRPr="00DE5D30">
              <w:rPr>
                <w:noProof/>
                <w:webHidden/>
              </w:rPr>
              <w:fldChar w:fldCharType="begin"/>
            </w:r>
            <w:r w:rsidR="008A5B20" w:rsidRPr="00DE5D30">
              <w:rPr>
                <w:noProof/>
                <w:webHidden/>
              </w:rPr>
              <w:instrText xml:space="preserve"> PAGEREF _Toc163300226 \h </w:instrText>
            </w:r>
            <w:r w:rsidR="008A5B20" w:rsidRPr="00DE5D30">
              <w:rPr>
                <w:noProof/>
                <w:webHidden/>
              </w:rPr>
            </w:r>
            <w:r w:rsidR="008A5B20" w:rsidRPr="00DE5D30">
              <w:rPr>
                <w:noProof/>
                <w:webHidden/>
              </w:rPr>
              <w:fldChar w:fldCharType="separate"/>
            </w:r>
            <w:r w:rsidR="00A26E06" w:rsidRPr="00DE5D30">
              <w:rPr>
                <w:noProof/>
                <w:webHidden/>
              </w:rPr>
              <w:t>16</w:t>
            </w:r>
            <w:r w:rsidR="008A5B20" w:rsidRPr="00DE5D30">
              <w:rPr>
                <w:noProof/>
                <w:webHidden/>
              </w:rPr>
              <w:fldChar w:fldCharType="end"/>
            </w:r>
          </w:hyperlink>
        </w:p>
        <w:p w14:paraId="65E1D0D1" w14:textId="5F537C29" w:rsidR="008A5B20" w:rsidRPr="00DE5D30" w:rsidRDefault="00CD4C2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63300227" w:history="1">
            <w:r w:rsidR="008A5B20" w:rsidRPr="00DE5D30">
              <w:rPr>
                <w:rStyle w:val="ac"/>
                <w:rFonts w:cs="Times New Roman"/>
                <w:noProof/>
              </w:rPr>
              <w:t>§1.3 Вопрос допустимости оперативно-розыскных мероприятий с элементами провокации</w:t>
            </w:r>
            <w:r w:rsidR="008A5B20" w:rsidRPr="00DE5D30">
              <w:rPr>
                <w:noProof/>
                <w:webHidden/>
              </w:rPr>
              <w:tab/>
            </w:r>
            <w:r w:rsidR="008A5B20" w:rsidRPr="00DE5D30">
              <w:rPr>
                <w:noProof/>
                <w:webHidden/>
              </w:rPr>
              <w:fldChar w:fldCharType="begin"/>
            </w:r>
            <w:r w:rsidR="008A5B20" w:rsidRPr="00DE5D30">
              <w:rPr>
                <w:noProof/>
                <w:webHidden/>
              </w:rPr>
              <w:instrText xml:space="preserve"> PAGEREF _Toc163300227 \h </w:instrText>
            </w:r>
            <w:r w:rsidR="008A5B20" w:rsidRPr="00DE5D30">
              <w:rPr>
                <w:noProof/>
                <w:webHidden/>
              </w:rPr>
            </w:r>
            <w:r w:rsidR="008A5B20" w:rsidRPr="00DE5D30">
              <w:rPr>
                <w:noProof/>
                <w:webHidden/>
              </w:rPr>
              <w:fldChar w:fldCharType="separate"/>
            </w:r>
            <w:r w:rsidR="00A26E06" w:rsidRPr="00DE5D30">
              <w:rPr>
                <w:noProof/>
                <w:webHidden/>
              </w:rPr>
              <w:t>30</w:t>
            </w:r>
            <w:r w:rsidR="008A5B20" w:rsidRPr="00DE5D30">
              <w:rPr>
                <w:noProof/>
                <w:webHidden/>
              </w:rPr>
              <w:fldChar w:fldCharType="end"/>
            </w:r>
          </w:hyperlink>
        </w:p>
        <w:p w14:paraId="2314C176" w14:textId="620BC416" w:rsidR="008A5B20" w:rsidRPr="00DE5D30" w:rsidRDefault="00CD4C2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63300228" w:history="1">
            <w:r w:rsidR="008A5B20" w:rsidRPr="00DE5D30">
              <w:rPr>
                <w:rStyle w:val="ac"/>
                <w:rFonts w:cs="Times New Roman"/>
                <w:noProof/>
              </w:rPr>
              <w:t xml:space="preserve">ГЛАВА 2. </w:t>
            </w:r>
            <w:bookmarkStart w:id="2" w:name="_Hlk166513258"/>
            <w:r w:rsidR="008A5B20" w:rsidRPr="00DE5D30">
              <w:rPr>
                <w:rStyle w:val="ac"/>
                <w:rFonts w:cs="Times New Roman"/>
                <w:noProof/>
              </w:rPr>
              <w:t xml:space="preserve">ПУТИ СОВЕРШЕНСТВОВАНИЯ И ТЕНДЕНЦИЯ СУДЕБНОЙ ПРАКТИКИ В СФЕРЕ </w:t>
            </w:r>
            <w:r w:rsidR="008A5B20" w:rsidRPr="00DE5D30">
              <w:rPr>
                <w:rStyle w:val="ac"/>
                <w:rFonts w:cs="Times New Roman"/>
                <w:noProof/>
                <w:bdr w:val="none" w:sz="0" w:space="0" w:color="auto" w:frame="1"/>
                <w:shd w:val="clear" w:color="auto" w:fill="FFFFFF"/>
              </w:rPr>
              <w:t>ИСПОЛЬЗОВАНИЯ РЕЗУЛЬТАТОВ ОПЕРАТИВНО-РОЗЫСКНОЙ ДЕЯТЕЛЬНОСТИ, ПОЛУЧЕННЫХ ПРОВОКАЦИОННЫМ ПУТЕМ</w:t>
            </w:r>
            <w:bookmarkEnd w:id="2"/>
            <w:r w:rsidR="008A5B20" w:rsidRPr="00DE5D30">
              <w:rPr>
                <w:rStyle w:val="ac"/>
                <w:rFonts w:cs="Times New Roman"/>
                <w:noProof/>
                <w:bdr w:val="none" w:sz="0" w:space="0" w:color="auto" w:frame="1"/>
                <w:shd w:val="clear" w:color="auto" w:fill="FFFFFF"/>
              </w:rPr>
              <w:t>.</w:t>
            </w:r>
            <w:r w:rsidR="008A5B20" w:rsidRPr="00DE5D30">
              <w:rPr>
                <w:noProof/>
                <w:webHidden/>
              </w:rPr>
              <w:tab/>
            </w:r>
            <w:r w:rsidR="008A5B20" w:rsidRPr="00DE5D30">
              <w:rPr>
                <w:noProof/>
                <w:webHidden/>
              </w:rPr>
              <w:fldChar w:fldCharType="begin"/>
            </w:r>
            <w:r w:rsidR="008A5B20" w:rsidRPr="00DE5D30">
              <w:rPr>
                <w:noProof/>
                <w:webHidden/>
              </w:rPr>
              <w:instrText xml:space="preserve"> PAGEREF _Toc163300228 \h </w:instrText>
            </w:r>
            <w:r w:rsidR="008A5B20" w:rsidRPr="00DE5D30">
              <w:rPr>
                <w:noProof/>
                <w:webHidden/>
              </w:rPr>
            </w:r>
            <w:r w:rsidR="008A5B20" w:rsidRPr="00DE5D30">
              <w:rPr>
                <w:noProof/>
                <w:webHidden/>
              </w:rPr>
              <w:fldChar w:fldCharType="separate"/>
            </w:r>
            <w:r w:rsidR="00A26E06" w:rsidRPr="00DE5D30">
              <w:rPr>
                <w:noProof/>
                <w:webHidden/>
              </w:rPr>
              <w:t>47</w:t>
            </w:r>
            <w:r w:rsidR="008A5B20" w:rsidRPr="00DE5D30">
              <w:rPr>
                <w:noProof/>
                <w:webHidden/>
              </w:rPr>
              <w:fldChar w:fldCharType="end"/>
            </w:r>
          </w:hyperlink>
        </w:p>
        <w:p w14:paraId="6E4EA3AE" w14:textId="6FBF9D1D" w:rsidR="008A5B20" w:rsidRPr="00DE5D30" w:rsidRDefault="00CD4C2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63300229" w:history="1">
            <w:r w:rsidR="008A5B20" w:rsidRPr="00DE5D30">
              <w:rPr>
                <w:rStyle w:val="ac"/>
                <w:rFonts w:cs="Times New Roman"/>
                <w:noProof/>
              </w:rPr>
              <w:t xml:space="preserve">§ </w:t>
            </w:r>
            <w:r w:rsidR="008A5B20" w:rsidRPr="00DE5D30">
              <w:rPr>
                <w:rStyle w:val="ac"/>
                <w:rFonts w:cs="Times New Roman"/>
                <w:noProof/>
                <w:bdr w:val="none" w:sz="0" w:space="0" w:color="auto" w:frame="1"/>
                <w:shd w:val="clear" w:color="auto" w:fill="FFFFFF"/>
              </w:rPr>
              <w:t>2.1 Признание доказательств в судебных инстанциях недопустимыми в результате провокационно-подстрекательских действий</w:t>
            </w:r>
            <w:r w:rsidR="008A5B20" w:rsidRPr="00DE5D30">
              <w:rPr>
                <w:noProof/>
                <w:webHidden/>
              </w:rPr>
              <w:tab/>
            </w:r>
            <w:r w:rsidR="008A5B20" w:rsidRPr="00DE5D30">
              <w:rPr>
                <w:noProof/>
                <w:webHidden/>
              </w:rPr>
              <w:fldChar w:fldCharType="begin"/>
            </w:r>
            <w:r w:rsidR="008A5B20" w:rsidRPr="00DE5D30">
              <w:rPr>
                <w:noProof/>
                <w:webHidden/>
              </w:rPr>
              <w:instrText xml:space="preserve"> PAGEREF _Toc163300229 \h </w:instrText>
            </w:r>
            <w:r w:rsidR="008A5B20" w:rsidRPr="00DE5D30">
              <w:rPr>
                <w:noProof/>
                <w:webHidden/>
              </w:rPr>
            </w:r>
            <w:r w:rsidR="008A5B20" w:rsidRPr="00DE5D30">
              <w:rPr>
                <w:noProof/>
                <w:webHidden/>
              </w:rPr>
              <w:fldChar w:fldCharType="separate"/>
            </w:r>
            <w:r w:rsidR="00A26E06" w:rsidRPr="00DE5D30">
              <w:rPr>
                <w:noProof/>
                <w:webHidden/>
              </w:rPr>
              <w:t>47</w:t>
            </w:r>
            <w:r w:rsidR="008A5B20" w:rsidRPr="00DE5D30">
              <w:rPr>
                <w:noProof/>
                <w:webHidden/>
              </w:rPr>
              <w:fldChar w:fldCharType="end"/>
            </w:r>
          </w:hyperlink>
        </w:p>
        <w:p w14:paraId="59EA45EB" w14:textId="38D900A9" w:rsidR="008A5B20" w:rsidRPr="00DE5D30" w:rsidRDefault="00CD4C2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63300230" w:history="1">
            <w:r w:rsidR="008A5B20" w:rsidRPr="00DE5D30">
              <w:rPr>
                <w:rStyle w:val="ac"/>
                <w:rFonts w:cs="Times New Roman"/>
                <w:noProof/>
              </w:rPr>
              <w:t xml:space="preserve">§ </w:t>
            </w:r>
            <w:r w:rsidR="008A5B20" w:rsidRPr="00DE5D30">
              <w:rPr>
                <w:rStyle w:val="ac"/>
                <w:noProof/>
                <w:bdr w:val="none" w:sz="0" w:space="0" w:color="auto" w:frame="1"/>
                <w:shd w:val="clear" w:color="auto" w:fill="FFFFFF"/>
              </w:rPr>
              <w:t>2.2 Повышение эффективности правовых механизмов регламентации недопустимости доказательств с провокационной составляющей</w:t>
            </w:r>
            <w:r w:rsidR="008A5B20" w:rsidRPr="00DE5D30">
              <w:rPr>
                <w:noProof/>
                <w:webHidden/>
              </w:rPr>
              <w:tab/>
            </w:r>
            <w:r w:rsidR="008A5B20" w:rsidRPr="00DE5D30">
              <w:rPr>
                <w:noProof/>
                <w:webHidden/>
              </w:rPr>
              <w:fldChar w:fldCharType="begin"/>
            </w:r>
            <w:r w:rsidR="008A5B20" w:rsidRPr="00DE5D30">
              <w:rPr>
                <w:noProof/>
                <w:webHidden/>
              </w:rPr>
              <w:instrText xml:space="preserve"> PAGEREF _Toc163300230 \h </w:instrText>
            </w:r>
            <w:r w:rsidR="008A5B20" w:rsidRPr="00DE5D30">
              <w:rPr>
                <w:noProof/>
                <w:webHidden/>
              </w:rPr>
            </w:r>
            <w:r w:rsidR="008A5B20" w:rsidRPr="00DE5D30">
              <w:rPr>
                <w:noProof/>
                <w:webHidden/>
              </w:rPr>
              <w:fldChar w:fldCharType="separate"/>
            </w:r>
            <w:r w:rsidR="00A26E06" w:rsidRPr="00DE5D30">
              <w:rPr>
                <w:noProof/>
                <w:webHidden/>
              </w:rPr>
              <w:t>63</w:t>
            </w:r>
            <w:r w:rsidR="008A5B20" w:rsidRPr="00DE5D30">
              <w:rPr>
                <w:noProof/>
                <w:webHidden/>
              </w:rPr>
              <w:fldChar w:fldCharType="end"/>
            </w:r>
          </w:hyperlink>
        </w:p>
        <w:p w14:paraId="0B891E05" w14:textId="5CF022E0" w:rsidR="008A5B20" w:rsidRPr="00DE5D30" w:rsidRDefault="00CD4C2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63300231" w:history="1">
            <w:r w:rsidR="008A5B20" w:rsidRPr="00DE5D30">
              <w:rPr>
                <w:rStyle w:val="ac"/>
                <w:rFonts w:cs="Times New Roman"/>
                <w:noProof/>
              </w:rPr>
              <w:t>Заключение</w:t>
            </w:r>
            <w:r w:rsidR="008A5B20" w:rsidRPr="00DE5D30">
              <w:rPr>
                <w:noProof/>
                <w:webHidden/>
              </w:rPr>
              <w:tab/>
            </w:r>
            <w:r w:rsidR="008A5B20" w:rsidRPr="00DE5D30">
              <w:rPr>
                <w:noProof/>
                <w:webHidden/>
              </w:rPr>
              <w:fldChar w:fldCharType="begin"/>
            </w:r>
            <w:r w:rsidR="008A5B20" w:rsidRPr="00DE5D30">
              <w:rPr>
                <w:noProof/>
                <w:webHidden/>
              </w:rPr>
              <w:instrText xml:space="preserve"> PAGEREF _Toc163300231 \h </w:instrText>
            </w:r>
            <w:r w:rsidR="008A5B20" w:rsidRPr="00DE5D30">
              <w:rPr>
                <w:noProof/>
                <w:webHidden/>
              </w:rPr>
            </w:r>
            <w:r w:rsidR="008A5B20" w:rsidRPr="00DE5D30">
              <w:rPr>
                <w:noProof/>
                <w:webHidden/>
              </w:rPr>
              <w:fldChar w:fldCharType="separate"/>
            </w:r>
            <w:r w:rsidR="00A26E06" w:rsidRPr="00DE5D30">
              <w:rPr>
                <w:noProof/>
                <w:webHidden/>
              </w:rPr>
              <w:t>74</w:t>
            </w:r>
            <w:r w:rsidR="008A5B20" w:rsidRPr="00DE5D30">
              <w:rPr>
                <w:noProof/>
                <w:webHidden/>
              </w:rPr>
              <w:fldChar w:fldCharType="end"/>
            </w:r>
          </w:hyperlink>
        </w:p>
        <w:p w14:paraId="26514A88" w14:textId="23564A73" w:rsidR="008A5B20" w:rsidRPr="00DE5D30" w:rsidRDefault="00CD4C2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63300232" w:history="1">
            <w:r w:rsidR="008A5B20" w:rsidRPr="00DE5D30">
              <w:rPr>
                <w:rStyle w:val="ac"/>
                <w:rFonts w:cs="Times New Roman"/>
                <w:noProof/>
              </w:rPr>
              <w:t>Список использованных источников и литературы</w:t>
            </w:r>
            <w:r w:rsidR="008A5B20" w:rsidRPr="00DE5D30">
              <w:rPr>
                <w:noProof/>
                <w:webHidden/>
              </w:rPr>
              <w:tab/>
            </w:r>
            <w:r w:rsidR="008A5B20" w:rsidRPr="00DE5D30">
              <w:rPr>
                <w:noProof/>
                <w:webHidden/>
              </w:rPr>
              <w:fldChar w:fldCharType="begin"/>
            </w:r>
            <w:r w:rsidR="008A5B20" w:rsidRPr="00DE5D30">
              <w:rPr>
                <w:noProof/>
                <w:webHidden/>
              </w:rPr>
              <w:instrText xml:space="preserve"> PAGEREF _Toc163300232 \h </w:instrText>
            </w:r>
            <w:r w:rsidR="008A5B20" w:rsidRPr="00DE5D30">
              <w:rPr>
                <w:noProof/>
                <w:webHidden/>
              </w:rPr>
            </w:r>
            <w:r w:rsidR="008A5B20" w:rsidRPr="00DE5D30">
              <w:rPr>
                <w:noProof/>
                <w:webHidden/>
              </w:rPr>
              <w:fldChar w:fldCharType="separate"/>
            </w:r>
            <w:r w:rsidR="00A26E06" w:rsidRPr="00DE5D30">
              <w:rPr>
                <w:noProof/>
                <w:webHidden/>
              </w:rPr>
              <w:t>79</w:t>
            </w:r>
            <w:r w:rsidR="008A5B20" w:rsidRPr="00DE5D30">
              <w:rPr>
                <w:noProof/>
                <w:webHidden/>
              </w:rPr>
              <w:fldChar w:fldCharType="end"/>
            </w:r>
          </w:hyperlink>
        </w:p>
        <w:p w14:paraId="0EAC938B" w14:textId="17A51D66" w:rsidR="00484EA9" w:rsidRPr="00DE5D30" w:rsidRDefault="00484EA9" w:rsidP="00484EA9">
          <w:pPr>
            <w:spacing w:line="360" w:lineRule="auto"/>
            <w:rPr>
              <w:rFonts w:cs="Times New Roman"/>
              <w:b/>
              <w:bCs/>
              <w:szCs w:val="28"/>
            </w:rPr>
          </w:pPr>
          <w:r w:rsidRPr="00DE5D30">
            <w:rPr>
              <w:rFonts w:cs="Times New Roman"/>
              <w:b/>
              <w:bCs/>
              <w:szCs w:val="28"/>
            </w:rPr>
            <w:fldChar w:fldCharType="end"/>
          </w:r>
        </w:p>
      </w:sdtContent>
    </w:sdt>
    <w:p w14:paraId="1AB611EB" w14:textId="77777777" w:rsidR="00806F41" w:rsidRPr="00DE5D30" w:rsidRDefault="00806F41" w:rsidP="00484EA9">
      <w:pPr>
        <w:spacing w:line="360" w:lineRule="auto"/>
        <w:jc w:val="left"/>
        <w:rPr>
          <w:rFonts w:cs="Times New Roman"/>
          <w:b/>
          <w:bCs/>
          <w:szCs w:val="28"/>
        </w:rPr>
      </w:pPr>
      <w:r w:rsidRPr="00DE5D30">
        <w:rPr>
          <w:rFonts w:cs="Times New Roman"/>
          <w:b/>
          <w:bCs/>
          <w:szCs w:val="28"/>
        </w:rPr>
        <w:br w:type="page"/>
      </w:r>
    </w:p>
    <w:p w14:paraId="38A4C2CD" w14:textId="5F7A6806" w:rsidR="0080275A" w:rsidRPr="00DE5D30" w:rsidRDefault="0080275A" w:rsidP="00D96EFF">
      <w:pPr>
        <w:pStyle w:val="1"/>
        <w:spacing w:line="360" w:lineRule="auto"/>
        <w:rPr>
          <w:rFonts w:cs="Times New Roman"/>
          <w:szCs w:val="28"/>
        </w:rPr>
      </w:pPr>
      <w:bookmarkStart w:id="3" w:name="_Toc163300223"/>
      <w:r w:rsidRPr="00DE5D30">
        <w:rPr>
          <w:rFonts w:cs="Times New Roman"/>
          <w:szCs w:val="28"/>
        </w:rPr>
        <w:lastRenderedPageBreak/>
        <w:t>Введение</w:t>
      </w:r>
      <w:bookmarkEnd w:id="3"/>
      <w:r w:rsidRPr="00DE5D30">
        <w:rPr>
          <w:rFonts w:cs="Times New Roman"/>
          <w:szCs w:val="28"/>
        </w:rPr>
        <w:t xml:space="preserve"> </w:t>
      </w:r>
    </w:p>
    <w:p w14:paraId="75F58BFD" w14:textId="77777777" w:rsidR="00D96EFF" w:rsidRPr="00DE5D30" w:rsidRDefault="00D96EFF" w:rsidP="00D96EFF"/>
    <w:p w14:paraId="23D20499" w14:textId="28D68FE0" w:rsidR="0080275A" w:rsidRPr="00DE5D30" w:rsidRDefault="0080275A" w:rsidP="00CD2A54">
      <w:pPr>
        <w:pStyle w:val="a3"/>
      </w:pPr>
      <w:r w:rsidRPr="00DE5D30">
        <w:t>Одними из основных задач государства в целом и правоохранительных органов в частности являются борьба с преступностью, охрана общества, его материальных и духовных ценностей. Нельзя недооценивать эти задачи и поэтому для их выполнения должны быть использованы самые действенные механизмы. Как справедливо указывал французский философ-материалист Клод Гельвеций: «искусство законодателя состоит в том, чтобы выгода, извлекаемая злодеем из его преступления, была совершенно несоразмерна тому страданию, которое ему за это угрожает»</w:t>
      </w:r>
      <w:r w:rsidR="00E36BBF" w:rsidRPr="00DE5D30">
        <w:t xml:space="preserve"> </w:t>
      </w:r>
      <w:r w:rsidRPr="00DE5D30">
        <w:rPr>
          <w:rStyle w:val="a8"/>
        </w:rPr>
        <w:footnoteReference w:id="1"/>
      </w:r>
      <w:r w:rsidR="00E36BBF" w:rsidRPr="00DE5D30">
        <w:t>.</w:t>
      </w:r>
      <w:r w:rsidRPr="00DE5D30">
        <w:t xml:space="preserve"> Однако стоит учитывать, что правоохранительные органы</w:t>
      </w:r>
      <w:r w:rsidR="008B55FB" w:rsidRPr="00DE5D30">
        <w:t xml:space="preserve"> </w:t>
      </w:r>
      <w:r w:rsidRPr="00DE5D30">
        <w:t>порой злоупотребляя своими служебными полномочиями</w:t>
      </w:r>
      <w:r w:rsidR="008B55FB" w:rsidRPr="00DE5D30">
        <w:t xml:space="preserve"> </w:t>
      </w:r>
      <w:r w:rsidRPr="00DE5D30">
        <w:t xml:space="preserve">в погоне </w:t>
      </w:r>
      <w:r w:rsidR="007D4688" w:rsidRPr="00DE5D30">
        <w:t>за</w:t>
      </w:r>
      <w:r w:rsidRPr="00DE5D30">
        <w:t xml:space="preserve"> показателями раскрываемости, используют такие механизмы, которые нарушают права человека </w:t>
      </w:r>
      <w:r w:rsidR="001F7B67" w:rsidRPr="00DE5D30">
        <w:t xml:space="preserve">и </w:t>
      </w:r>
      <w:r w:rsidRPr="00DE5D30">
        <w:t>являются</w:t>
      </w:r>
      <w:r w:rsidR="001F7B67" w:rsidRPr="00DE5D30">
        <w:t xml:space="preserve"> не только</w:t>
      </w:r>
      <w:r w:rsidRPr="00DE5D30">
        <w:t xml:space="preserve"> недопустимыми, </w:t>
      </w:r>
      <w:r w:rsidR="001F7B67" w:rsidRPr="00DE5D30">
        <w:t>но и</w:t>
      </w:r>
      <w:r w:rsidRPr="00DE5D30">
        <w:t xml:space="preserve"> неэффективным</w:t>
      </w:r>
      <w:r w:rsidR="008B55FB" w:rsidRPr="00DE5D30">
        <w:t>и</w:t>
      </w:r>
      <w:r w:rsidRPr="00DE5D30">
        <w:t xml:space="preserve"> </w:t>
      </w:r>
      <w:r w:rsidR="008B55FB" w:rsidRPr="00DE5D30">
        <w:t xml:space="preserve">с точки зрения </w:t>
      </w:r>
      <w:r w:rsidRPr="00DE5D30">
        <w:t>способ</w:t>
      </w:r>
      <w:r w:rsidR="008B55FB" w:rsidRPr="00DE5D30">
        <w:t>а</w:t>
      </w:r>
      <w:r w:rsidRPr="00DE5D30">
        <w:t xml:space="preserve"> борьбы с преступностью. </w:t>
      </w:r>
      <w:r w:rsidR="008B55FB" w:rsidRPr="00DE5D30">
        <w:t>Помимо того, что это</w:t>
      </w:r>
      <w:r w:rsidRPr="00DE5D30">
        <w:t xml:space="preserve"> противоречит международным стандартам</w:t>
      </w:r>
      <w:r w:rsidR="008B55FB" w:rsidRPr="00DE5D30">
        <w:t xml:space="preserve"> защиты</w:t>
      </w:r>
      <w:r w:rsidRPr="00DE5D30">
        <w:t xml:space="preserve"> прав человека, может </w:t>
      </w:r>
      <w:r w:rsidR="008B55FB" w:rsidRPr="00DE5D30">
        <w:t xml:space="preserve">также </w:t>
      </w:r>
      <w:r w:rsidRPr="00DE5D30">
        <w:t xml:space="preserve">привести к </w:t>
      </w:r>
      <w:r w:rsidR="008B55FB" w:rsidRPr="00DE5D30">
        <w:t>беспочвенным</w:t>
      </w:r>
      <w:r w:rsidRPr="00DE5D30">
        <w:t xml:space="preserve"> обвинениям и несправедливым приговорам.</w:t>
      </w:r>
    </w:p>
    <w:p w14:paraId="4B07180E" w14:textId="77777777" w:rsidR="0080275A" w:rsidRPr="00DE5D30" w:rsidRDefault="0080275A" w:rsidP="00CD2A54">
      <w:pPr>
        <w:pStyle w:val="a3"/>
      </w:pPr>
      <w:r w:rsidRPr="00DE5D30">
        <w:t>Деятельность правоохранительных органов должна быть направлена на защиту прав и свобод граждан, а не на их нарушение. В борьбе с преступностью необходимо проводить расследование в соответствии с установленными процедурами и нормами, при этом соблюдая тонкую грань, перейдя за которую нарушаются основополагающие принципы уголовного процесса.</w:t>
      </w:r>
    </w:p>
    <w:p w14:paraId="6A32ACF2" w14:textId="479F91B9" w:rsidR="0080275A" w:rsidRPr="00DE5D30" w:rsidRDefault="0080275A" w:rsidP="00CD2A54">
      <w:pPr>
        <w:pStyle w:val="a3"/>
      </w:pPr>
      <w:r w:rsidRPr="00DE5D30">
        <w:t xml:space="preserve">Важно понимать, что использование незаконных методов борьбы с преступностью может привести к непредсказуемым последствиям, таким как </w:t>
      </w:r>
      <w:r w:rsidR="00B90045" w:rsidRPr="00DE5D30">
        <w:t xml:space="preserve">распространение правового нигилизма в обществе, </w:t>
      </w:r>
      <w:r w:rsidRPr="00DE5D30">
        <w:t>нарушение общественного порядка</w:t>
      </w:r>
      <w:r w:rsidR="00B90045" w:rsidRPr="00DE5D30">
        <w:t>, а также</w:t>
      </w:r>
      <w:r w:rsidRPr="00DE5D30">
        <w:t xml:space="preserve"> угроз</w:t>
      </w:r>
      <w:r w:rsidR="00B90045" w:rsidRPr="00DE5D30">
        <w:t>е</w:t>
      </w:r>
      <w:r w:rsidRPr="00DE5D30">
        <w:t xml:space="preserve"> безопасности граждан, образуя порочный круг </w:t>
      </w:r>
      <w:r w:rsidRPr="00DE5D30">
        <w:lastRenderedPageBreak/>
        <w:t xml:space="preserve">нарушений закона. К одному из таких методов относится и провокация преступления. </w:t>
      </w:r>
    </w:p>
    <w:p w14:paraId="3521B447" w14:textId="734145C0" w:rsidR="0080275A" w:rsidRPr="00DE5D30" w:rsidRDefault="0080275A" w:rsidP="00CD2A54">
      <w:pPr>
        <w:pStyle w:val="a3"/>
      </w:pPr>
      <w:r w:rsidRPr="00DE5D30">
        <w:t>В данном исследовании будет рассмотрен</w:t>
      </w:r>
      <w:r w:rsidR="00BF6CEE" w:rsidRPr="00DE5D30">
        <w:t xml:space="preserve"> </w:t>
      </w:r>
      <w:r w:rsidR="00B90045" w:rsidRPr="00DE5D30">
        <w:t xml:space="preserve">весьма </w:t>
      </w:r>
      <w:r w:rsidRPr="00DE5D30">
        <w:t>остр</w:t>
      </w:r>
      <w:r w:rsidR="00BF6CEE" w:rsidRPr="00DE5D30">
        <w:t>ый</w:t>
      </w:r>
      <w:r w:rsidRPr="00DE5D30">
        <w:t xml:space="preserve"> и</w:t>
      </w:r>
      <w:r w:rsidR="00B90045" w:rsidRPr="00DE5D30">
        <w:t xml:space="preserve"> несколько</w:t>
      </w:r>
      <w:r w:rsidRPr="00DE5D30">
        <w:t xml:space="preserve"> спорн</w:t>
      </w:r>
      <w:r w:rsidR="00BF6CEE" w:rsidRPr="00DE5D30">
        <w:t>ый</w:t>
      </w:r>
      <w:r w:rsidRPr="00DE5D30">
        <w:t xml:space="preserve"> правов</w:t>
      </w:r>
      <w:r w:rsidR="00BF6CEE" w:rsidRPr="00DE5D30">
        <w:t>ой вопрос в</w:t>
      </w:r>
      <w:r w:rsidRPr="00DE5D30">
        <w:t xml:space="preserve"> теории уголовного процесса, как недопустимость доказательств, полученных провокационным путем. Особая важность и актуальность данной работы связана с тем, что в научном сообществе и отечественной правоприменительной практике отсутствует однозначное </w:t>
      </w:r>
      <w:r w:rsidR="00702C00" w:rsidRPr="00DE5D30">
        <w:t>понимание</w:t>
      </w:r>
      <w:r w:rsidRPr="00DE5D30">
        <w:t xml:space="preserve"> критериев провокации, наблюдаются различная интерпретация судами условий признания доказательств недопустимыми (основанных на оперативно-розыскных мероприятиях с элементом </w:t>
      </w:r>
      <w:r w:rsidR="00702C00" w:rsidRPr="00DE5D30">
        <w:t xml:space="preserve">допустимой </w:t>
      </w:r>
      <w:r w:rsidRPr="00DE5D30">
        <w:t>провокации)</w:t>
      </w:r>
      <w:r w:rsidR="00B90045" w:rsidRPr="00DE5D30">
        <w:t xml:space="preserve"> и </w:t>
      </w:r>
      <w:r w:rsidR="007C67B2" w:rsidRPr="00DE5D30">
        <w:t xml:space="preserve">существование </w:t>
      </w:r>
      <w:r w:rsidR="00B90045" w:rsidRPr="00DE5D30">
        <w:t>ряд</w:t>
      </w:r>
      <w:r w:rsidR="007C67B2" w:rsidRPr="00DE5D30">
        <w:t>а</w:t>
      </w:r>
      <w:r w:rsidR="00B90045" w:rsidRPr="00DE5D30">
        <w:t xml:space="preserve"> других неоднозначных проблем</w:t>
      </w:r>
      <w:r w:rsidR="007C67B2" w:rsidRPr="00DE5D30">
        <w:t>, попытка решения которых предпринимается в этой работе</w:t>
      </w:r>
      <w:r w:rsidRPr="00DE5D30">
        <w:t xml:space="preserve">. </w:t>
      </w:r>
    </w:p>
    <w:p w14:paraId="690DE500" w14:textId="78FF682F" w:rsidR="0080275A" w:rsidRPr="00DE5D30" w:rsidRDefault="0080275A" w:rsidP="00CD2A54">
      <w:pPr>
        <w:pStyle w:val="a3"/>
      </w:pPr>
      <w:r w:rsidRPr="00DE5D30">
        <w:t xml:space="preserve">Вопрос признания недопустимыми доказательств, полученных провокационным путем, также не имеет достаточной научной разработанности. Однако, можно отметить, что данная тема является объектом внимания многих исследователей в области уголовного </w:t>
      </w:r>
      <w:r w:rsidR="002A6CB3" w:rsidRPr="00DE5D30">
        <w:t>процесса и</w:t>
      </w:r>
      <w:r w:rsidRPr="00DE5D30">
        <w:t xml:space="preserve"> права.</w:t>
      </w:r>
    </w:p>
    <w:p w14:paraId="55172FB4" w14:textId="1EBFDCA7" w:rsidR="0080275A" w:rsidRPr="00DE5D30" w:rsidRDefault="0080275A" w:rsidP="00CD2A54">
      <w:pPr>
        <w:pStyle w:val="a3"/>
      </w:pPr>
      <w:r w:rsidRPr="00DE5D30">
        <w:t xml:space="preserve">Существует ряд научных работ, посвященных данной проблеме, в которых имеются различные научные и практические точки зрения на </w:t>
      </w:r>
      <w:r w:rsidR="007C67B2" w:rsidRPr="00DE5D30">
        <w:t xml:space="preserve">разрешения </w:t>
      </w:r>
      <w:r w:rsidRPr="00DE5D30">
        <w:t>проблем</w:t>
      </w:r>
      <w:r w:rsidR="007C67B2" w:rsidRPr="00DE5D30">
        <w:t>ы</w:t>
      </w:r>
      <w:r w:rsidRPr="00DE5D30">
        <w:t xml:space="preserve"> признания недопустимыми доказательств, полученных правоохранителями путем провокации, в которых также анализируется </w:t>
      </w:r>
      <w:r w:rsidR="007C67B2" w:rsidRPr="00DE5D30">
        <w:t>судебная</w:t>
      </w:r>
      <w:r w:rsidRPr="00DE5D30">
        <w:t xml:space="preserve"> практика по данному вопросу.</w:t>
      </w:r>
    </w:p>
    <w:p w14:paraId="758DEC25" w14:textId="454A7267" w:rsidR="0080275A" w:rsidRPr="00DE5D30" w:rsidRDefault="007C67B2" w:rsidP="00CD2A54">
      <w:pPr>
        <w:pStyle w:val="a3"/>
      </w:pPr>
      <w:r w:rsidRPr="00DE5D30">
        <w:t>В свою очередь а</w:t>
      </w:r>
      <w:r w:rsidR="0080275A" w:rsidRPr="00DE5D30">
        <w:t xml:space="preserve">ктуальность данной темы определяется тем, что позиции Европейского Суда по правам человека, Верховного Суда и Конституционного суда Российской Федерации по данному вопросу, в целом, соотносясь друг с другом, в правоприменительной практике не находят достаточно полной реализации, порой противореча им, и поэтому нуждаются в анализе причин и путях разрешения. </w:t>
      </w:r>
    </w:p>
    <w:p w14:paraId="60A94CE3" w14:textId="42A66A5E" w:rsidR="0080275A" w:rsidRPr="00DE5D30" w:rsidRDefault="0080275A" w:rsidP="00CD2A54">
      <w:pPr>
        <w:pStyle w:val="a3"/>
      </w:pPr>
      <w:r w:rsidRPr="00DE5D30">
        <w:t xml:space="preserve">При анализе научной взглядов на различные вопросы недопустимости доказательств с провокационной составляющей в уголовном процессе использовались труды А.Д. Назарова, С.Ю. Щукина, С.И. </w:t>
      </w:r>
      <w:proofErr w:type="spellStart"/>
      <w:r w:rsidRPr="00DE5D30">
        <w:t>Гирько</w:t>
      </w:r>
      <w:proofErr w:type="spellEnd"/>
      <w:r w:rsidRPr="00DE5D30">
        <w:t xml:space="preserve">, </w:t>
      </w:r>
      <w:proofErr w:type="spellStart"/>
      <w:r w:rsidRPr="00DE5D30">
        <w:lastRenderedPageBreak/>
        <w:t>С.В.Харченко</w:t>
      </w:r>
      <w:proofErr w:type="spellEnd"/>
      <w:r w:rsidRPr="00DE5D30">
        <w:t xml:space="preserve">, М.А. Фомина, </w:t>
      </w:r>
      <w:r w:rsidR="003617D0">
        <w:t xml:space="preserve">Н.Г. Стойко, </w:t>
      </w:r>
      <w:r w:rsidRPr="00DE5D30">
        <w:t xml:space="preserve">М.В. Ремизова, Р.Н. Ласточкина, В. А.   Лазарева, Н. А. Громова, В. В. Лисовенко, А. Н  Гущина, М.Л. Родичева,  Д. А. Илюшина,  С.Б. </w:t>
      </w:r>
      <w:proofErr w:type="spellStart"/>
      <w:r w:rsidRPr="00DE5D30">
        <w:t>Россинского</w:t>
      </w:r>
      <w:proofErr w:type="spellEnd"/>
      <w:r w:rsidRPr="00DE5D30">
        <w:t xml:space="preserve"> и др. </w:t>
      </w:r>
    </w:p>
    <w:p w14:paraId="59F78DA2" w14:textId="24430FEA" w:rsidR="0080275A" w:rsidRPr="00DE5D30" w:rsidRDefault="0080275A" w:rsidP="00CD2A54">
      <w:pPr>
        <w:pStyle w:val="a3"/>
        <w:rPr>
          <w:color w:val="FF0000"/>
        </w:rPr>
      </w:pPr>
      <w:r w:rsidRPr="00DE5D30">
        <w:t xml:space="preserve">Предметом исследования являются правовые нормы, определяющие основы механизма получения и использования доказательств, полученных провокационным путем, </w:t>
      </w:r>
      <w:r w:rsidR="002C658F" w:rsidRPr="00DE5D30">
        <w:t xml:space="preserve">их </w:t>
      </w:r>
      <w:r w:rsidRPr="00DE5D30">
        <w:t>оценка на предмет допустимости в уголовном процессе, а также предписания и правовые позиции Европейского Суда по правам человека, Конституционного Суда Российской Федерации, Верховного Суда Российской Федерации.</w:t>
      </w:r>
    </w:p>
    <w:p w14:paraId="090172A5" w14:textId="0A19C5A1" w:rsidR="0080275A" w:rsidRPr="00DE5D30" w:rsidRDefault="0080275A" w:rsidP="00CD2A54">
      <w:pPr>
        <w:pStyle w:val="a3"/>
        <w:rPr>
          <w:color w:val="FF0000"/>
        </w:rPr>
      </w:pPr>
      <w:r w:rsidRPr="00DE5D30">
        <w:t xml:space="preserve">Целью данной работы является анализ научных концепций, судебной практики Европейского суда, Верховного суда РФ, судов общей юрисдикции для определения основных критериев провокации; процесса получения, проверки и оценки доказательств, полученных провокационным путём, а также формирование на этой базе предложений по модернизации законодательства для исключения элемента провокационности в уголовном процессе. </w:t>
      </w:r>
    </w:p>
    <w:bookmarkEnd w:id="0"/>
    <w:p w14:paraId="1797E1E9" w14:textId="77777777" w:rsidR="0080275A" w:rsidRPr="00DE5D30" w:rsidRDefault="0080275A" w:rsidP="00CD2A54">
      <w:pPr>
        <w:pStyle w:val="a3"/>
      </w:pPr>
    </w:p>
    <w:sectPr w:rsidR="0080275A" w:rsidRPr="00DE5D30" w:rsidSect="008C028D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FE7B" w14:textId="77777777" w:rsidR="00CD4C2B" w:rsidRDefault="00CD4C2B" w:rsidP="00806F41">
      <w:pPr>
        <w:spacing w:after="0" w:line="240" w:lineRule="auto"/>
      </w:pPr>
      <w:r>
        <w:separator/>
      </w:r>
    </w:p>
  </w:endnote>
  <w:endnote w:type="continuationSeparator" w:id="0">
    <w:p w14:paraId="31614B8F" w14:textId="77777777" w:rsidR="00CD4C2B" w:rsidRDefault="00CD4C2B" w:rsidP="0080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iri">
    <w:altName w:val="Arial"/>
    <w:charset w:val="00"/>
    <w:family w:val="auto"/>
    <w:pitch w:val="variable"/>
    <w:sig w:usb0="A000206F" w:usb1="82002043" w:usb2="00000008" w:usb3="00000000" w:csb0="000000D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C2BC" w14:textId="77777777" w:rsidR="00CD4C2B" w:rsidRDefault="00CD4C2B" w:rsidP="00806F41">
      <w:pPr>
        <w:spacing w:after="0" w:line="240" w:lineRule="auto"/>
      </w:pPr>
      <w:r>
        <w:separator/>
      </w:r>
    </w:p>
  </w:footnote>
  <w:footnote w:type="continuationSeparator" w:id="0">
    <w:p w14:paraId="689F8B45" w14:textId="77777777" w:rsidR="00CD4C2B" w:rsidRDefault="00CD4C2B" w:rsidP="00806F41">
      <w:pPr>
        <w:spacing w:after="0" w:line="240" w:lineRule="auto"/>
      </w:pPr>
      <w:r>
        <w:continuationSeparator/>
      </w:r>
    </w:p>
  </w:footnote>
  <w:footnote w:id="1">
    <w:p w14:paraId="146D9795" w14:textId="3C1D9D2C" w:rsidR="0080275A" w:rsidRPr="00AE7293" w:rsidRDefault="0080275A" w:rsidP="00DE5D30">
      <w:pPr>
        <w:pStyle w:val="a6"/>
        <w:ind w:firstLine="709"/>
        <w:rPr>
          <w:rFonts w:cs="Times New Roman"/>
          <w:sz w:val="24"/>
          <w:szCs w:val="24"/>
        </w:rPr>
      </w:pPr>
      <w:r w:rsidRPr="00AE7293">
        <w:rPr>
          <w:rStyle w:val="a8"/>
          <w:rFonts w:cs="Times New Roman"/>
          <w:sz w:val="24"/>
          <w:szCs w:val="24"/>
        </w:rPr>
        <w:footnoteRef/>
      </w:r>
      <w:r w:rsidR="00D72195">
        <w:rPr>
          <w:rFonts w:cs="Times New Roman"/>
          <w:sz w:val="24"/>
          <w:szCs w:val="24"/>
        </w:rPr>
        <w:t xml:space="preserve"> </w:t>
      </w:r>
      <w:proofErr w:type="spellStart"/>
      <w:r w:rsidR="002C658F" w:rsidRPr="002C658F">
        <w:rPr>
          <w:rFonts w:cs="Times New Roman"/>
          <w:sz w:val="24"/>
          <w:szCs w:val="24"/>
        </w:rPr>
        <w:t>Момджян</w:t>
      </w:r>
      <w:proofErr w:type="spellEnd"/>
      <w:r w:rsidR="002C658F" w:rsidRPr="002C658F">
        <w:rPr>
          <w:rFonts w:cs="Times New Roman"/>
          <w:sz w:val="24"/>
          <w:szCs w:val="24"/>
        </w:rPr>
        <w:t xml:space="preserve"> Х.Д. Клод Адриан Гельвеций. Сочинения в двух томах / Х. Д. </w:t>
      </w:r>
      <w:proofErr w:type="spellStart"/>
      <w:r w:rsidR="002C658F" w:rsidRPr="002C658F">
        <w:rPr>
          <w:rFonts w:cs="Times New Roman"/>
          <w:sz w:val="24"/>
          <w:szCs w:val="24"/>
        </w:rPr>
        <w:t>Момджян</w:t>
      </w:r>
      <w:proofErr w:type="spellEnd"/>
      <w:r w:rsidR="002C658F" w:rsidRPr="002C658F">
        <w:rPr>
          <w:rFonts w:cs="Times New Roman"/>
          <w:sz w:val="24"/>
          <w:szCs w:val="24"/>
        </w:rPr>
        <w:t xml:space="preserve"> // Мысль. М.: 1973 г. </w:t>
      </w:r>
      <w:r w:rsidR="002C658F">
        <w:rPr>
          <w:rFonts w:cs="Times New Roman"/>
          <w:sz w:val="24"/>
          <w:szCs w:val="24"/>
        </w:rPr>
        <w:t xml:space="preserve">С. </w:t>
      </w:r>
      <w:r w:rsidR="00D72195">
        <w:rPr>
          <w:rFonts w:cs="Times New Roman"/>
          <w:sz w:val="24"/>
          <w:szCs w:val="24"/>
        </w:rPr>
        <w:t>152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75E"/>
    <w:multiLevelType w:val="hybridMultilevel"/>
    <w:tmpl w:val="90D47790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" w15:restartNumberingAfterBreak="0">
    <w:nsid w:val="0CBD5FD4"/>
    <w:multiLevelType w:val="hybridMultilevel"/>
    <w:tmpl w:val="A06E1D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E26DEF"/>
    <w:multiLevelType w:val="hybridMultilevel"/>
    <w:tmpl w:val="90F0ABE2"/>
    <w:lvl w:ilvl="0" w:tplc="5FE42282">
      <w:start w:val="1"/>
      <w:numFmt w:val="bullet"/>
      <w:lvlText w:val="-"/>
      <w:lvlJc w:val="left"/>
      <w:pPr>
        <w:ind w:left="1571" w:hanging="360"/>
      </w:pPr>
      <w:rPr>
        <w:rFonts w:ascii="Amiri" w:hAnsi="Amir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D90524"/>
    <w:multiLevelType w:val="multilevel"/>
    <w:tmpl w:val="C556E9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AE628D"/>
    <w:multiLevelType w:val="hybridMultilevel"/>
    <w:tmpl w:val="4D960B64"/>
    <w:lvl w:ilvl="0" w:tplc="5FE42282">
      <w:start w:val="1"/>
      <w:numFmt w:val="bullet"/>
      <w:lvlText w:val="-"/>
      <w:lvlJc w:val="left"/>
      <w:pPr>
        <w:ind w:left="1429" w:hanging="360"/>
      </w:pPr>
      <w:rPr>
        <w:rFonts w:ascii="Amiri" w:hAnsi="Ami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AF5C96"/>
    <w:multiLevelType w:val="hybridMultilevel"/>
    <w:tmpl w:val="19DECF66"/>
    <w:lvl w:ilvl="0" w:tplc="F5DEE796">
      <w:start w:val="5"/>
      <w:numFmt w:val="decimal"/>
      <w:lvlText w:val="%1."/>
      <w:lvlJc w:val="left"/>
      <w:pPr>
        <w:ind w:left="1212" w:hanging="360"/>
      </w:pPr>
      <w:rPr>
        <w:rFonts w:hint="default"/>
        <w:sz w:val="28"/>
        <w:szCs w:val="4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2BBB58FA"/>
    <w:multiLevelType w:val="hybridMultilevel"/>
    <w:tmpl w:val="8DA46024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33E512C4"/>
    <w:multiLevelType w:val="hybridMultilevel"/>
    <w:tmpl w:val="525C0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B80F94"/>
    <w:multiLevelType w:val="hybridMultilevel"/>
    <w:tmpl w:val="22A6A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282365F"/>
    <w:multiLevelType w:val="hybridMultilevel"/>
    <w:tmpl w:val="23ACC1BC"/>
    <w:lvl w:ilvl="0" w:tplc="5FE42282">
      <w:start w:val="1"/>
      <w:numFmt w:val="bullet"/>
      <w:lvlText w:val="-"/>
      <w:lvlJc w:val="left"/>
      <w:pPr>
        <w:ind w:left="1429" w:hanging="360"/>
      </w:pPr>
      <w:rPr>
        <w:rFonts w:ascii="Amiri" w:hAnsi="Ami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651A06"/>
    <w:multiLevelType w:val="hybridMultilevel"/>
    <w:tmpl w:val="FCDAC7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0A33E6C"/>
    <w:multiLevelType w:val="multilevel"/>
    <w:tmpl w:val="09D0B7C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7EC3B6C"/>
    <w:multiLevelType w:val="hybridMultilevel"/>
    <w:tmpl w:val="DAA69C90"/>
    <w:lvl w:ilvl="0" w:tplc="7B90DDA6">
      <w:start w:val="3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927DA"/>
    <w:multiLevelType w:val="hybridMultilevel"/>
    <w:tmpl w:val="4E022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3092500"/>
    <w:multiLevelType w:val="hybridMultilevel"/>
    <w:tmpl w:val="EDAE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07B6C"/>
    <w:multiLevelType w:val="hybridMultilevel"/>
    <w:tmpl w:val="666245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E4E79A4"/>
    <w:multiLevelType w:val="hybridMultilevel"/>
    <w:tmpl w:val="AFB8C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5C72EAB"/>
    <w:multiLevelType w:val="hybridMultilevel"/>
    <w:tmpl w:val="1A9C42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8856484"/>
    <w:multiLevelType w:val="hybridMultilevel"/>
    <w:tmpl w:val="A06E1D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AE624D9"/>
    <w:multiLevelType w:val="multilevel"/>
    <w:tmpl w:val="C04A6EF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E183F8D"/>
    <w:multiLevelType w:val="hybridMultilevel"/>
    <w:tmpl w:val="7436CF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5"/>
  </w:num>
  <w:num w:numId="5">
    <w:abstractNumId w:val="5"/>
  </w:num>
  <w:num w:numId="6">
    <w:abstractNumId w:val="3"/>
  </w:num>
  <w:num w:numId="7">
    <w:abstractNumId w:val="11"/>
  </w:num>
  <w:num w:numId="8">
    <w:abstractNumId w:val="16"/>
  </w:num>
  <w:num w:numId="9">
    <w:abstractNumId w:val="13"/>
  </w:num>
  <w:num w:numId="10">
    <w:abstractNumId w:val="18"/>
  </w:num>
  <w:num w:numId="11">
    <w:abstractNumId w:val="4"/>
  </w:num>
  <w:num w:numId="12">
    <w:abstractNumId w:val="20"/>
  </w:num>
  <w:num w:numId="13">
    <w:abstractNumId w:val="8"/>
  </w:num>
  <w:num w:numId="14">
    <w:abstractNumId w:val="1"/>
  </w:num>
  <w:num w:numId="15">
    <w:abstractNumId w:val="2"/>
  </w:num>
  <w:num w:numId="16">
    <w:abstractNumId w:val="14"/>
  </w:num>
  <w:num w:numId="17">
    <w:abstractNumId w:val="6"/>
  </w:num>
  <w:num w:numId="18">
    <w:abstractNumId w:val="12"/>
  </w:num>
  <w:num w:numId="19">
    <w:abstractNumId w:val="7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64"/>
    <w:rsid w:val="00001266"/>
    <w:rsid w:val="00005909"/>
    <w:rsid w:val="000224F7"/>
    <w:rsid w:val="000258BC"/>
    <w:rsid w:val="000300AE"/>
    <w:rsid w:val="000349A4"/>
    <w:rsid w:val="00034DCC"/>
    <w:rsid w:val="0004118D"/>
    <w:rsid w:val="000469D6"/>
    <w:rsid w:val="00056395"/>
    <w:rsid w:val="00070075"/>
    <w:rsid w:val="00072362"/>
    <w:rsid w:val="00081E9A"/>
    <w:rsid w:val="00097189"/>
    <w:rsid w:val="000C32A7"/>
    <w:rsid w:val="000D197C"/>
    <w:rsid w:val="000E18BF"/>
    <w:rsid w:val="000F785A"/>
    <w:rsid w:val="00121A5D"/>
    <w:rsid w:val="00125664"/>
    <w:rsid w:val="00135A08"/>
    <w:rsid w:val="00135F56"/>
    <w:rsid w:val="00154668"/>
    <w:rsid w:val="00154BDE"/>
    <w:rsid w:val="00160A8C"/>
    <w:rsid w:val="00161B73"/>
    <w:rsid w:val="001639D0"/>
    <w:rsid w:val="00164709"/>
    <w:rsid w:val="00175D6A"/>
    <w:rsid w:val="00176483"/>
    <w:rsid w:val="001827B8"/>
    <w:rsid w:val="00197D5E"/>
    <w:rsid w:val="001A5E5F"/>
    <w:rsid w:val="001B4D40"/>
    <w:rsid w:val="001B6A85"/>
    <w:rsid w:val="001D2D22"/>
    <w:rsid w:val="001D3405"/>
    <w:rsid w:val="001D4DFA"/>
    <w:rsid w:val="001D4E54"/>
    <w:rsid w:val="001D72CB"/>
    <w:rsid w:val="001E495E"/>
    <w:rsid w:val="001F7B67"/>
    <w:rsid w:val="0021456C"/>
    <w:rsid w:val="00223E37"/>
    <w:rsid w:val="00225BDE"/>
    <w:rsid w:val="00225F88"/>
    <w:rsid w:val="002421C2"/>
    <w:rsid w:val="00243B69"/>
    <w:rsid w:val="00251126"/>
    <w:rsid w:val="002532D2"/>
    <w:rsid w:val="0025467B"/>
    <w:rsid w:val="00264752"/>
    <w:rsid w:val="00271357"/>
    <w:rsid w:val="00277BEA"/>
    <w:rsid w:val="00280E1A"/>
    <w:rsid w:val="00295A34"/>
    <w:rsid w:val="002A159C"/>
    <w:rsid w:val="002A1A51"/>
    <w:rsid w:val="002A54BB"/>
    <w:rsid w:val="002A6CB3"/>
    <w:rsid w:val="002A79C3"/>
    <w:rsid w:val="002B6A13"/>
    <w:rsid w:val="002B6C5E"/>
    <w:rsid w:val="002C658F"/>
    <w:rsid w:val="002D0733"/>
    <w:rsid w:val="002D08D3"/>
    <w:rsid w:val="002E2FB3"/>
    <w:rsid w:val="002F0931"/>
    <w:rsid w:val="002F41D4"/>
    <w:rsid w:val="002F5235"/>
    <w:rsid w:val="00311A46"/>
    <w:rsid w:val="0033067B"/>
    <w:rsid w:val="0033203D"/>
    <w:rsid w:val="00336F9E"/>
    <w:rsid w:val="003405B3"/>
    <w:rsid w:val="0034611E"/>
    <w:rsid w:val="003617D0"/>
    <w:rsid w:val="003647D4"/>
    <w:rsid w:val="00364928"/>
    <w:rsid w:val="003807D4"/>
    <w:rsid w:val="00391D47"/>
    <w:rsid w:val="003968BD"/>
    <w:rsid w:val="003A3183"/>
    <w:rsid w:val="003A58BE"/>
    <w:rsid w:val="003A6F84"/>
    <w:rsid w:val="003A7408"/>
    <w:rsid w:val="003C0C3C"/>
    <w:rsid w:val="003C33D4"/>
    <w:rsid w:val="003D26B6"/>
    <w:rsid w:val="003D543B"/>
    <w:rsid w:val="003D7457"/>
    <w:rsid w:val="003E0EE1"/>
    <w:rsid w:val="003E43D7"/>
    <w:rsid w:val="003F5234"/>
    <w:rsid w:val="003F793F"/>
    <w:rsid w:val="0042297B"/>
    <w:rsid w:val="00432CCF"/>
    <w:rsid w:val="00437A04"/>
    <w:rsid w:val="00441B37"/>
    <w:rsid w:val="004427D9"/>
    <w:rsid w:val="00452381"/>
    <w:rsid w:val="004570B4"/>
    <w:rsid w:val="00457A97"/>
    <w:rsid w:val="0046722C"/>
    <w:rsid w:val="004829AF"/>
    <w:rsid w:val="00482C5A"/>
    <w:rsid w:val="00484EA9"/>
    <w:rsid w:val="00485AD3"/>
    <w:rsid w:val="0048619B"/>
    <w:rsid w:val="004961BB"/>
    <w:rsid w:val="004A170C"/>
    <w:rsid w:val="004A6334"/>
    <w:rsid w:val="004A74F1"/>
    <w:rsid w:val="004D1D8D"/>
    <w:rsid w:val="004D2701"/>
    <w:rsid w:val="004E5EF0"/>
    <w:rsid w:val="00506D5A"/>
    <w:rsid w:val="005176C7"/>
    <w:rsid w:val="005321F2"/>
    <w:rsid w:val="00532D7B"/>
    <w:rsid w:val="0053727F"/>
    <w:rsid w:val="0055755E"/>
    <w:rsid w:val="005578A5"/>
    <w:rsid w:val="00574486"/>
    <w:rsid w:val="00575C29"/>
    <w:rsid w:val="00577636"/>
    <w:rsid w:val="00577C59"/>
    <w:rsid w:val="00587911"/>
    <w:rsid w:val="00591237"/>
    <w:rsid w:val="0059695E"/>
    <w:rsid w:val="00597420"/>
    <w:rsid w:val="005A3567"/>
    <w:rsid w:val="005B663E"/>
    <w:rsid w:val="005B6ED6"/>
    <w:rsid w:val="005C0558"/>
    <w:rsid w:val="005C6211"/>
    <w:rsid w:val="005C73C0"/>
    <w:rsid w:val="005D24BD"/>
    <w:rsid w:val="005D2ECB"/>
    <w:rsid w:val="005D7E64"/>
    <w:rsid w:val="005E4C04"/>
    <w:rsid w:val="005E7109"/>
    <w:rsid w:val="00610B17"/>
    <w:rsid w:val="006143B8"/>
    <w:rsid w:val="0062446F"/>
    <w:rsid w:val="00630131"/>
    <w:rsid w:val="006302F8"/>
    <w:rsid w:val="00631F48"/>
    <w:rsid w:val="006367A2"/>
    <w:rsid w:val="006424E0"/>
    <w:rsid w:val="00642DE5"/>
    <w:rsid w:val="00656C36"/>
    <w:rsid w:val="0066101E"/>
    <w:rsid w:val="00661F53"/>
    <w:rsid w:val="0067063B"/>
    <w:rsid w:val="00674990"/>
    <w:rsid w:val="00674EA7"/>
    <w:rsid w:val="006955A1"/>
    <w:rsid w:val="006A5571"/>
    <w:rsid w:val="006B16AF"/>
    <w:rsid w:val="006B4438"/>
    <w:rsid w:val="006C43B8"/>
    <w:rsid w:val="006C49CE"/>
    <w:rsid w:val="006C4ABE"/>
    <w:rsid w:val="006C513C"/>
    <w:rsid w:val="006D397A"/>
    <w:rsid w:val="006D4AAA"/>
    <w:rsid w:val="006D72A4"/>
    <w:rsid w:val="006E3F73"/>
    <w:rsid w:val="006E425A"/>
    <w:rsid w:val="006F2CC7"/>
    <w:rsid w:val="006F5EA9"/>
    <w:rsid w:val="006F69FD"/>
    <w:rsid w:val="007008EC"/>
    <w:rsid w:val="00702C00"/>
    <w:rsid w:val="00731A1C"/>
    <w:rsid w:val="00735814"/>
    <w:rsid w:val="00751037"/>
    <w:rsid w:val="00787FB6"/>
    <w:rsid w:val="007A19C7"/>
    <w:rsid w:val="007B7EB7"/>
    <w:rsid w:val="007C2A89"/>
    <w:rsid w:val="007C3D1A"/>
    <w:rsid w:val="007C4518"/>
    <w:rsid w:val="007C67B2"/>
    <w:rsid w:val="007D4688"/>
    <w:rsid w:val="007D6C61"/>
    <w:rsid w:val="007D7FDC"/>
    <w:rsid w:val="007E466D"/>
    <w:rsid w:val="007E4A4B"/>
    <w:rsid w:val="007F10E4"/>
    <w:rsid w:val="007F2374"/>
    <w:rsid w:val="0080275A"/>
    <w:rsid w:val="00806F41"/>
    <w:rsid w:val="00814377"/>
    <w:rsid w:val="00830A85"/>
    <w:rsid w:val="008311DD"/>
    <w:rsid w:val="00831A6A"/>
    <w:rsid w:val="00833477"/>
    <w:rsid w:val="00841B05"/>
    <w:rsid w:val="00842718"/>
    <w:rsid w:val="00850241"/>
    <w:rsid w:val="008529BD"/>
    <w:rsid w:val="0087217B"/>
    <w:rsid w:val="00880738"/>
    <w:rsid w:val="008848AF"/>
    <w:rsid w:val="008862AC"/>
    <w:rsid w:val="008A5B20"/>
    <w:rsid w:val="008A7608"/>
    <w:rsid w:val="008B55FB"/>
    <w:rsid w:val="008C028D"/>
    <w:rsid w:val="008C46EE"/>
    <w:rsid w:val="008C7939"/>
    <w:rsid w:val="008D1798"/>
    <w:rsid w:val="008D498B"/>
    <w:rsid w:val="008E1062"/>
    <w:rsid w:val="008F54C6"/>
    <w:rsid w:val="009036A9"/>
    <w:rsid w:val="009120CE"/>
    <w:rsid w:val="009219D6"/>
    <w:rsid w:val="00947E73"/>
    <w:rsid w:val="00951C07"/>
    <w:rsid w:val="009538BB"/>
    <w:rsid w:val="00972359"/>
    <w:rsid w:val="00974E97"/>
    <w:rsid w:val="009811BA"/>
    <w:rsid w:val="0098239F"/>
    <w:rsid w:val="009B04EF"/>
    <w:rsid w:val="009C0639"/>
    <w:rsid w:val="009F0FDE"/>
    <w:rsid w:val="009F52BF"/>
    <w:rsid w:val="009F63B0"/>
    <w:rsid w:val="00A1336F"/>
    <w:rsid w:val="00A15F48"/>
    <w:rsid w:val="00A24D47"/>
    <w:rsid w:val="00A26074"/>
    <w:rsid w:val="00A26A8F"/>
    <w:rsid w:val="00A26E06"/>
    <w:rsid w:val="00A3694B"/>
    <w:rsid w:val="00A40B5F"/>
    <w:rsid w:val="00A41769"/>
    <w:rsid w:val="00A50E70"/>
    <w:rsid w:val="00A52BBA"/>
    <w:rsid w:val="00A6025F"/>
    <w:rsid w:val="00A62A15"/>
    <w:rsid w:val="00A636A9"/>
    <w:rsid w:val="00A65662"/>
    <w:rsid w:val="00A81784"/>
    <w:rsid w:val="00AA3B0A"/>
    <w:rsid w:val="00AC5475"/>
    <w:rsid w:val="00AD215E"/>
    <w:rsid w:val="00AD3109"/>
    <w:rsid w:val="00AE61ED"/>
    <w:rsid w:val="00AE7293"/>
    <w:rsid w:val="00AF16CA"/>
    <w:rsid w:val="00B21F85"/>
    <w:rsid w:val="00B24016"/>
    <w:rsid w:val="00B25197"/>
    <w:rsid w:val="00B36530"/>
    <w:rsid w:val="00B43FB7"/>
    <w:rsid w:val="00B56353"/>
    <w:rsid w:val="00B60486"/>
    <w:rsid w:val="00B646B6"/>
    <w:rsid w:val="00B712A0"/>
    <w:rsid w:val="00B74295"/>
    <w:rsid w:val="00B76674"/>
    <w:rsid w:val="00B865A5"/>
    <w:rsid w:val="00B90045"/>
    <w:rsid w:val="00B9141A"/>
    <w:rsid w:val="00B93871"/>
    <w:rsid w:val="00B953B3"/>
    <w:rsid w:val="00BA621A"/>
    <w:rsid w:val="00BE2C5A"/>
    <w:rsid w:val="00BE3DAA"/>
    <w:rsid w:val="00BE6769"/>
    <w:rsid w:val="00BF6CEE"/>
    <w:rsid w:val="00BF70AA"/>
    <w:rsid w:val="00C2129D"/>
    <w:rsid w:val="00C37BE5"/>
    <w:rsid w:val="00C50C2C"/>
    <w:rsid w:val="00C540A4"/>
    <w:rsid w:val="00C62B18"/>
    <w:rsid w:val="00C733F8"/>
    <w:rsid w:val="00C81F5D"/>
    <w:rsid w:val="00CA4CA1"/>
    <w:rsid w:val="00CB13A4"/>
    <w:rsid w:val="00CC50E4"/>
    <w:rsid w:val="00CC7C4D"/>
    <w:rsid w:val="00CD1171"/>
    <w:rsid w:val="00CD2A54"/>
    <w:rsid w:val="00CD4C2B"/>
    <w:rsid w:val="00CE0CE0"/>
    <w:rsid w:val="00CF5397"/>
    <w:rsid w:val="00D0524A"/>
    <w:rsid w:val="00D11E0A"/>
    <w:rsid w:val="00D15F01"/>
    <w:rsid w:val="00D26196"/>
    <w:rsid w:val="00D343DC"/>
    <w:rsid w:val="00D4289E"/>
    <w:rsid w:val="00D62E36"/>
    <w:rsid w:val="00D72195"/>
    <w:rsid w:val="00D72A79"/>
    <w:rsid w:val="00D7618A"/>
    <w:rsid w:val="00D90000"/>
    <w:rsid w:val="00D912CC"/>
    <w:rsid w:val="00D91384"/>
    <w:rsid w:val="00D9263B"/>
    <w:rsid w:val="00D92DD2"/>
    <w:rsid w:val="00D96EFF"/>
    <w:rsid w:val="00DA6FAA"/>
    <w:rsid w:val="00DB4347"/>
    <w:rsid w:val="00DD340E"/>
    <w:rsid w:val="00DD6E76"/>
    <w:rsid w:val="00DE1E16"/>
    <w:rsid w:val="00DE25B7"/>
    <w:rsid w:val="00DE55DB"/>
    <w:rsid w:val="00DE5BA6"/>
    <w:rsid w:val="00DE5D30"/>
    <w:rsid w:val="00E05FC1"/>
    <w:rsid w:val="00E07C37"/>
    <w:rsid w:val="00E11211"/>
    <w:rsid w:val="00E1178B"/>
    <w:rsid w:val="00E123A6"/>
    <w:rsid w:val="00E14B4A"/>
    <w:rsid w:val="00E160A9"/>
    <w:rsid w:val="00E232AE"/>
    <w:rsid w:val="00E3448E"/>
    <w:rsid w:val="00E36BBF"/>
    <w:rsid w:val="00E4038A"/>
    <w:rsid w:val="00E42233"/>
    <w:rsid w:val="00E51256"/>
    <w:rsid w:val="00E63B86"/>
    <w:rsid w:val="00E65362"/>
    <w:rsid w:val="00E700E0"/>
    <w:rsid w:val="00E769E3"/>
    <w:rsid w:val="00E869C7"/>
    <w:rsid w:val="00E96E6A"/>
    <w:rsid w:val="00EA2C81"/>
    <w:rsid w:val="00EA72AD"/>
    <w:rsid w:val="00EA7C82"/>
    <w:rsid w:val="00EC34B8"/>
    <w:rsid w:val="00EC575F"/>
    <w:rsid w:val="00EC636E"/>
    <w:rsid w:val="00ED2998"/>
    <w:rsid w:val="00EE3D34"/>
    <w:rsid w:val="00EF075F"/>
    <w:rsid w:val="00EF5A7E"/>
    <w:rsid w:val="00F01DE3"/>
    <w:rsid w:val="00F029CF"/>
    <w:rsid w:val="00F02C49"/>
    <w:rsid w:val="00F02F23"/>
    <w:rsid w:val="00F35C57"/>
    <w:rsid w:val="00F432CA"/>
    <w:rsid w:val="00F527BE"/>
    <w:rsid w:val="00F655C7"/>
    <w:rsid w:val="00F84F10"/>
    <w:rsid w:val="00F90DE1"/>
    <w:rsid w:val="00FA2B2C"/>
    <w:rsid w:val="00FA6A3B"/>
    <w:rsid w:val="00FB3FC7"/>
    <w:rsid w:val="00FC0DA9"/>
    <w:rsid w:val="00FD5748"/>
    <w:rsid w:val="00FF4FB3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915B"/>
  <w15:chartTrackingRefBased/>
  <w15:docId w15:val="{D577B53F-2410-45A6-BE40-D761B196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F41"/>
    <w:pPr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806F4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F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F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F41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6F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6F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 Spacing"/>
    <w:link w:val="a4"/>
    <w:autoRedefine/>
    <w:uiPriority w:val="1"/>
    <w:qFormat/>
    <w:rsid w:val="00CD2A5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806F41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806F4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806F41"/>
    <w:rPr>
      <w:rFonts w:ascii="Times New Roman" w:hAnsi="Times New Roman"/>
      <w:color w:val="000000" w:themeColor="text1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06F41"/>
    <w:rPr>
      <w:vertAlign w:val="superscript"/>
    </w:rPr>
  </w:style>
  <w:style w:type="character" w:customStyle="1" w:styleId="a4">
    <w:name w:val="Без интервала Знак"/>
    <w:basedOn w:val="a0"/>
    <w:link w:val="a3"/>
    <w:uiPriority w:val="1"/>
    <w:rsid w:val="00CD2A54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customStyle="1" w:styleId="ConsPlusTitle">
    <w:name w:val="ConsPlusTitle"/>
    <w:rsid w:val="00806F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806F41"/>
    <w:pPr>
      <w:spacing w:after="120"/>
      <w:ind w:firstLine="709"/>
      <w:jc w:val="left"/>
    </w:pPr>
    <w:rPr>
      <w:color w:val="auto"/>
    </w:rPr>
  </w:style>
  <w:style w:type="character" w:customStyle="1" w:styleId="aa">
    <w:name w:val="Основной текст Знак"/>
    <w:basedOn w:val="a0"/>
    <w:link w:val="a9"/>
    <w:uiPriority w:val="1"/>
    <w:rsid w:val="00806F41"/>
    <w:rPr>
      <w:rFonts w:ascii="Times New Roman" w:hAnsi="Times New Roman"/>
      <w:sz w:val="28"/>
    </w:rPr>
  </w:style>
  <w:style w:type="paragraph" w:styleId="ab">
    <w:name w:val="TOC Heading"/>
    <w:basedOn w:val="1"/>
    <w:next w:val="a"/>
    <w:uiPriority w:val="39"/>
    <w:unhideWhenUsed/>
    <w:qFormat/>
    <w:rsid w:val="00806F41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06F41"/>
    <w:pPr>
      <w:spacing w:after="100"/>
    </w:pPr>
  </w:style>
  <w:style w:type="character" w:styleId="ac">
    <w:name w:val="Hyperlink"/>
    <w:basedOn w:val="a0"/>
    <w:uiPriority w:val="99"/>
    <w:unhideWhenUsed/>
    <w:rsid w:val="00806F41"/>
    <w:rPr>
      <w:color w:val="0563C1" w:themeColor="hyperlink"/>
      <w:u w:val="single"/>
    </w:rPr>
  </w:style>
  <w:style w:type="paragraph" w:customStyle="1" w:styleId="msonorma1text">
    <w:name w:val="msonorma1text"/>
    <w:basedOn w:val="a"/>
    <w:uiPriority w:val="99"/>
    <w:rsid w:val="00806F41"/>
    <w:pPr>
      <w:spacing w:before="100" w:beforeAutospacing="1" w:after="100" w:afterAutospacing="1" w:line="240" w:lineRule="auto"/>
    </w:pPr>
    <w:rPr>
      <w:rFonts w:eastAsia="Times New Roman" w:cs="Times New Roman"/>
      <w:sz w:val="5"/>
      <w:szCs w:val="5"/>
    </w:rPr>
  </w:style>
  <w:style w:type="paragraph" w:customStyle="1" w:styleId="msonorma1text1">
    <w:name w:val="msonorma1text1"/>
    <w:rsid w:val="00806F41"/>
    <w:rPr>
      <w:sz w:val="5"/>
      <w:szCs w:val="5"/>
    </w:rPr>
  </w:style>
  <w:style w:type="paragraph" w:styleId="ad">
    <w:name w:val="endnote text"/>
    <w:basedOn w:val="a"/>
    <w:link w:val="ae"/>
    <w:uiPriority w:val="99"/>
    <w:semiHidden/>
    <w:unhideWhenUsed/>
    <w:rsid w:val="00484EA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84EA9"/>
    <w:rPr>
      <w:rFonts w:ascii="Times New Roman" w:hAnsi="Times New Roman"/>
      <w:color w:val="000000" w:themeColor="text1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84EA9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39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968BD"/>
    <w:rPr>
      <w:rFonts w:ascii="Times New Roman" w:hAnsi="Times New Roman"/>
      <w:color w:val="000000" w:themeColor="text1"/>
      <w:sz w:val="28"/>
    </w:rPr>
  </w:style>
  <w:style w:type="paragraph" w:styleId="af2">
    <w:name w:val="footer"/>
    <w:basedOn w:val="a"/>
    <w:link w:val="af3"/>
    <w:uiPriority w:val="99"/>
    <w:unhideWhenUsed/>
    <w:rsid w:val="0039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968BD"/>
    <w:rPr>
      <w:rFonts w:ascii="Times New Roman" w:hAnsi="Times New Roman"/>
      <w:color w:val="000000" w:themeColor="text1"/>
      <w:sz w:val="28"/>
    </w:rPr>
  </w:style>
  <w:style w:type="character" w:styleId="af4">
    <w:name w:val="Unresolved Mention"/>
    <w:basedOn w:val="a0"/>
    <w:uiPriority w:val="99"/>
    <w:semiHidden/>
    <w:unhideWhenUsed/>
    <w:rsid w:val="00070075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33477"/>
    <w:rPr>
      <w:color w:val="954F72" w:themeColor="followedHyperlink"/>
      <w:u w:val="single"/>
    </w:rPr>
  </w:style>
  <w:style w:type="table" w:styleId="af6">
    <w:name w:val="Table Grid"/>
    <w:basedOn w:val="a1"/>
    <w:uiPriority w:val="39"/>
    <w:rsid w:val="0048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17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3364798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610224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42759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020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1159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90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214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7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1938394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49884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3924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56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50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09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073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132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8767078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86528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1233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68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98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874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105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90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597066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807099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05191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9989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0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554503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8062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9854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07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1348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7346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1879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9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6201B-8FBC-4218-A4EC-066B8D28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2198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 Алиев</dc:creator>
  <cp:keywords/>
  <dc:description/>
  <cp:lastModifiedBy>Ivan V.</cp:lastModifiedBy>
  <cp:revision>10</cp:revision>
  <dcterms:created xsi:type="dcterms:W3CDTF">2024-04-09T22:02:00Z</dcterms:created>
  <dcterms:modified xsi:type="dcterms:W3CDTF">2025-01-21T11:22:00Z</dcterms:modified>
</cp:coreProperties>
</file>