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A659" w14:textId="4629022F" w:rsidR="00965A29" w:rsidRDefault="00965A29" w:rsidP="0010232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2D7F">
        <w:rPr>
          <w:rFonts w:ascii="Times New Roman" w:hAnsi="Times New Roman" w:cs="Times New Roman"/>
          <w:sz w:val="28"/>
          <w:szCs w:val="28"/>
        </w:rPr>
        <w:t>СОДЕРЖАНИЕ</w:t>
      </w:r>
    </w:p>
    <w:p w14:paraId="576CBCD3" w14:textId="77777777" w:rsidR="00A52A31" w:rsidRDefault="00A52A31" w:rsidP="00A52A3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2CFEC9E" w14:textId="77777777" w:rsidR="00A52A31" w:rsidRPr="00A52A31" w:rsidRDefault="00A52A31" w:rsidP="00A52A3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8D251C" w:rsidRPr="00D601E5" w14:paraId="61EF61B6" w14:textId="77777777" w:rsidTr="003042C8">
        <w:tc>
          <w:tcPr>
            <w:tcW w:w="9043" w:type="dxa"/>
          </w:tcPr>
          <w:tbl>
            <w:tblPr>
              <w:tblStyle w:val="a3"/>
              <w:tblW w:w="8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67"/>
              <w:gridCol w:w="851"/>
            </w:tblGrid>
            <w:tr w:rsidR="008D251C" w:rsidRPr="00A52A31" w14:paraId="66AF59AF" w14:textId="77777777" w:rsidTr="00EF294B">
              <w:tc>
                <w:tcPr>
                  <w:tcW w:w="7967" w:type="dxa"/>
                </w:tcPr>
                <w:p w14:paraId="1D6D6932" w14:textId="0D706FFB" w:rsidR="008D251C" w:rsidRPr="00A52A31" w:rsidRDefault="00A52A31" w:rsidP="00F316F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851" w:type="dxa"/>
                </w:tcPr>
                <w:p w14:paraId="28C34809" w14:textId="585443F9" w:rsidR="008D251C" w:rsidRPr="00A52A31" w:rsidRDefault="008D251C" w:rsidP="00A52A3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</w:tr>
            <w:tr w:rsidR="008D251C" w:rsidRPr="00A52A31" w14:paraId="0031EF4C" w14:textId="77777777" w:rsidTr="00EF294B">
              <w:tc>
                <w:tcPr>
                  <w:tcW w:w="7967" w:type="dxa"/>
                </w:tcPr>
                <w:p w14:paraId="7010754C" w14:textId="4BC9ACEE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 Т</w:t>
                  </w:r>
                  <w:r w:rsid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еоретико-методические аспекты формирования инвестиционной политики коммерческого банка</w:t>
                  </w: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14:paraId="4270E5F0" w14:textId="77777777" w:rsidR="008D251C" w:rsidRPr="00A52A31" w:rsidRDefault="008D251C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</w:tr>
            <w:tr w:rsidR="008D251C" w:rsidRPr="00A52A31" w14:paraId="2FFB796A" w14:textId="77777777" w:rsidTr="00EF294B">
              <w:tc>
                <w:tcPr>
                  <w:tcW w:w="7967" w:type="dxa"/>
                </w:tcPr>
                <w:p w14:paraId="16B5F88D" w14:textId="77777777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1.1 Коллаборация научной фильтрации инвестиционного портфеля коммерческого банка</w:t>
                  </w:r>
                </w:p>
              </w:tc>
              <w:tc>
                <w:tcPr>
                  <w:tcW w:w="851" w:type="dxa"/>
                </w:tcPr>
                <w:p w14:paraId="5E0CE6B4" w14:textId="77777777" w:rsidR="008D251C" w:rsidRPr="00A52A31" w:rsidRDefault="008D251C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</w:tr>
            <w:tr w:rsidR="008D251C" w:rsidRPr="00A52A31" w14:paraId="35B4F1AB" w14:textId="77777777" w:rsidTr="00EF294B">
              <w:tc>
                <w:tcPr>
                  <w:tcW w:w="7967" w:type="dxa"/>
                </w:tcPr>
                <w:p w14:paraId="5D6DA462" w14:textId="77777777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1.2 Инвестиционная политика коммерческого банка и ее методы управления</w:t>
                  </w:r>
                </w:p>
              </w:tc>
              <w:tc>
                <w:tcPr>
                  <w:tcW w:w="851" w:type="dxa"/>
                </w:tcPr>
                <w:p w14:paraId="52482B60" w14:textId="77777777" w:rsidR="008D251C" w:rsidRPr="00A52A31" w:rsidRDefault="008D251C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</w:tr>
            <w:tr w:rsidR="008D251C" w:rsidRPr="00A52A31" w14:paraId="4DD8CF37" w14:textId="77777777" w:rsidTr="00EF294B">
              <w:tc>
                <w:tcPr>
                  <w:tcW w:w="7967" w:type="dxa"/>
                </w:tcPr>
                <w:p w14:paraId="79A80742" w14:textId="77777777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1.3. Методическая интерпретация показателей доходности и рисков в инвестиционной деятельности коммерческих банков</w:t>
                  </w:r>
                </w:p>
              </w:tc>
              <w:tc>
                <w:tcPr>
                  <w:tcW w:w="851" w:type="dxa"/>
                </w:tcPr>
                <w:p w14:paraId="3E2B5C86" w14:textId="77777777" w:rsidR="008D251C" w:rsidRPr="00A52A31" w:rsidRDefault="008D251C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  <w:p w14:paraId="20894996" w14:textId="77777777" w:rsidR="008D251C" w:rsidRPr="00A52A31" w:rsidRDefault="008D251C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D251C" w:rsidRPr="00A52A31" w14:paraId="4D904C53" w14:textId="77777777" w:rsidTr="00EF294B">
              <w:tc>
                <w:tcPr>
                  <w:tcW w:w="7967" w:type="dxa"/>
                </w:tcPr>
                <w:p w14:paraId="35D41A60" w14:textId="16334310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 М</w:t>
                  </w:r>
                  <w:r w:rsid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етодические подходы к реализации инвестиционной политики коммерческого банка и формирования инвестиционного портфеля банка (на примере АО «Газпромбанк») </w:t>
                  </w:r>
                </w:p>
              </w:tc>
              <w:tc>
                <w:tcPr>
                  <w:tcW w:w="851" w:type="dxa"/>
                </w:tcPr>
                <w:p w14:paraId="3C1D5D47" w14:textId="77777777" w:rsidR="008D251C" w:rsidRPr="00A52A31" w:rsidRDefault="008D251C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40</w:t>
                  </w:r>
                </w:p>
              </w:tc>
            </w:tr>
            <w:tr w:rsidR="008D251C" w:rsidRPr="00A52A31" w14:paraId="5B5AFC2C" w14:textId="77777777" w:rsidTr="00EF294B">
              <w:tc>
                <w:tcPr>
                  <w:tcW w:w="7967" w:type="dxa"/>
                </w:tcPr>
                <w:p w14:paraId="33CCFCB2" w14:textId="77777777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2.1 Сегментированная характеристика коммерческого банка и его основные направления инвестиционной политики</w:t>
                  </w:r>
                </w:p>
              </w:tc>
              <w:tc>
                <w:tcPr>
                  <w:tcW w:w="851" w:type="dxa"/>
                </w:tcPr>
                <w:p w14:paraId="5A070BC2" w14:textId="77777777" w:rsidR="008D251C" w:rsidRPr="00A52A31" w:rsidRDefault="008D251C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40</w:t>
                  </w:r>
                </w:p>
              </w:tc>
            </w:tr>
            <w:tr w:rsidR="008D251C" w:rsidRPr="00A52A31" w14:paraId="4CA099CE" w14:textId="77777777" w:rsidTr="00EF294B">
              <w:tc>
                <w:tcPr>
                  <w:tcW w:w="7967" w:type="dxa"/>
                </w:tcPr>
                <w:p w14:paraId="4C891700" w14:textId="77777777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2.2 Эмпирический анализ инвестиционной деятельности коммерческого банка на основе факторных показателей</w:t>
                  </w:r>
                </w:p>
              </w:tc>
              <w:tc>
                <w:tcPr>
                  <w:tcW w:w="851" w:type="dxa"/>
                </w:tcPr>
                <w:p w14:paraId="42442DDF" w14:textId="77777777" w:rsidR="008D251C" w:rsidRPr="00A52A31" w:rsidRDefault="008D251C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</w:tr>
            <w:tr w:rsidR="008D251C" w:rsidRPr="00A52A31" w14:paraId="7137B5E8" w14:textId="77777777" w:rsidTr="00EF294B">
              <w:tc>
                <w:tcPr>
                  <w:tcW w:w="7967" w:type="dxa"/>
                </w:tcPr>
                <w:p w14:paraId="48394CDA" w14:textId="77777777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2.3. Методические рекомендации по оценке качества и эффективности управления инвестиционным портфелем в коммерческом банке</w:t>
                  </w:r>
                </w:p>
              </w:tc>
              <w:tc>
                <w:tcPr>
                  <w:tcW w:w="851" w:type="dxa"/>
                </w:tcPr>
                <w:p w14:paraId="594618F1" w14:textId="77777777" w:rsidR="008D251C" w:rsidRPr="00A52A31" w:rsidRDefault="003042C8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56</w:t>
                  </w:r>
                </w:p>
              </w:tc>
            </w:tr>
            <w:tr w:rsidR="008D251C" w:rsidRPr="00A52A31" w14:paraId="5AE46270" w14:textId="77777777" w:rsidTr="00EF294B">
              <w:tc>
                <w:tcPr>
                  <w:tcW w:w="7967" w:type="dxa"/>
                </w:tcPr>
                <w:p w14:paraId="209412F4" w14:textId="31724C07" w:rsidR="008D251C" w:rsidRPr="00A52A31" w:rsidRDefault="008D251C" w:rsidP="007B04A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 П</w:t>
                  </w:r>
                  <w:r w:rsid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овышение эффективности управления инвестиционным портфелем коммерческого банка в рамках реализации его инвестиционной политики с учетом </w:t>
                  </w:r>
                  <w:r w:rsidR="00A4485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форм государственно-частного партнерства </w:t>
                  </w:r>
                </w:p>
              </w:tc>
              <w:tc>
                <w:tcPr>
                  <w:tcW w:w="851" w:type="dxa"/>
                </w:tcPr>
                <w:p w14:paraId="23CB61D6" w14:textId="77777777" w:rsidR="008D251C" w:rsidRPr="00A52A31" w:rsidRDefault="008D251C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61</w:t>
                  </w:r>
                </w:p>
                <w:p w14:paraId="3F81353E" w14:textId="77777777" w:rsidR="003042C8" w:rsidRPr="00A52A31" w:rsidRDefault="003042C8" w:rsidP="00A4485D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D251C" w:rsidRPr="00A52A31" w14:paraId="72DAA682" w14:textId="77777777" w:rsidTr="00EF294B">
              <w:tc>
                <w:tcPr>
                  <w:tcW w:w="7967" w:type="dxa"/>
                </w:tcPr>
                <w:p w14:paraId="06A15781" w14:textId="6E03A99F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</w:t>
                  </w:r>
                  <w:r w:rsidR="00A4485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аключение</w:t>
                  </w:r>
                </w:p>
              </w:tc>
              <w:tc>
                <w:tcPr>
                  <w:tcW w:w="851" w:type="dxa"/>
                </w:tcPr>
                <w:p w14:paraId="76A6AA28" w14:textId="77777777" w:rsidR="008D251C" w:rsidRPr="00A52A31" w:rsidRDefault="003042C8" w:rsidP="00AC604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71</w:t>
                  </w:r>
                </w:p>
              </w:tc>
            </w:tr>
            <w:tr w:rsidR="008D251C" w:rsidRPr="00A52A31" w14:paraId="2150215F" w14:textId="77777777" w:rsidTr="00EF294B">
              <w:tc>
                <w:tcPr>
                  <w:tcW w:w="7967" w:type="dxa"/>
                </w:tcPr>
                <w:p w14:paraId="37E2C6B3" w14:textId="448A8D5C" w:rsidR="008D251C" w:rsidRPr="00A52A31" w:rsidRDefault="00A52A31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Список использованных источников</w:t>
                  </w:r>
                </w:p>
              </w:tc>
              <w:tc>
                <w:tcPr>
                  <w:tcW w:w="851" w:type="dxa"/>
                </w:tcPr>
                <w:p w14:paraId="5FA39320" w14:textId="27665183" w:rsidR="003042C8" w:rsidRPr="00A52A31" w:rsidRDefault="00A4485D" w:rsidP="00A4485D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3042C8"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74</w:t>
                  </w:r>
                </w:p>
              </w:tc>
            </w:tr>
            <w:tr w:rsidR="008D251C" w:rsidRPr="00A52A31" w14:paraId="14F3CE13" w14:textId="77777777" w:rsidTr="00EF294B">
              <w:tc>
                <w:tcPr>
                  <w:tcW w:w="7967" w:type="dxa"/>
                </w:tcPr>
                <w:p w14:paraId="656898CD" w14:textId="6D696E00" w:rsidR="008D251C" w:rsidRPr="00A52A31" w:rsidRDefault="008D251C" w:rsidP="00AC604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r w:rsidR="00A4485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риложения</w:t>
                  </w:r>
                </w:p>
              </w:tc>
              <w:tc>
                <w:tcPr>
                  <w:tcW w:w="851" w:type="dxa"/>
                </w:tcPr>
                <w:p w14:paraId="335D14CD" w14:textId="480E92B5" w:rsidR="003042C8" w:rsidRPr="00A52A31" w:rsidRDefault="00A4485D" w:rsidP="00A4485D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3042C8" w:rsidRPr="00A52A3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82</w:t>
                  </w:r>
                </w:p>
              </w:tc>
            </w:tr>
          </w:tbl>
          <w:p w14:paraId="68355AF5" w14:textId="77777777" w:rsidR="008D251C" w:rsidRPr="00A52A31" w:rsidRDefault="008D251C" w:rsidP="00F316F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78474DC" w14:textId="77777777" w:rsidR="007B04AD" w:rsidRDefault="007B04AD" w:rsidP="00965A29">
      <w:pPr>
        <w:jc w:val="center"/>
        <w:rPr>
          <w:rFonts w:ascii="Times New Roman" w:hAnsi="Times New Roman" w:cs="Times New Roman"/>
          <w:sz w:val="28"/>
        </w:rPr>
      </w:pPr>
    </w:p>
    <w:p w14:paraId="0AC6AE33" w14:textId="77777777" w:rsidR="00A52A31" w:rsidRDefault="00A52A31" w:rsidP="00965A29">
      <w:pPr>
        <w:jc w:val="center"/>
        <w:rPr>
          <w:rFonts w:ascii="Times New Roman" w:hAnsi="Times New Roman" w:cs="Times New Roman"/>
          <w:sz w:val="28"/>
        </w:rPr>
      </w:pPr>
    </w:p>
    <w:p w14:paraId="2A21C4C1" w14:textId="77777777" w:rsidR="00A4485D" w:rsidRDefault="00A4485D" w:rsidP="00965A29">
      <w:pPr>
        <w:jc w:val="center"/>
        <w:rPr>
          <w:rFonts w:ascii="Times New Roman" w:hAnsi="Times New Roman" w:cs="Times New Roman"/>
          <w:sz w:val="28"/>
        </w:rPr>
      </w:pPr>
    </w:p>
    <w:p w14:paraId="677D2939" w14:textId="6C0AA742" w:rsidR="00A4485D" w:rsidRDefault="00A4485D" w:rsidP="00965A29">
      <w:pPr>
        <w:jc w:val="center"/>
        <w:rPr>
          <w:rFonts w:ascii="Times New Roman" w:hAnsi="Times New Roman" w:cs="Times New Roman"/>
          <w:sz w:val="28"/>
        </w:rPr>
      </w:pPr>
    </w:p>
    <w:p w14:paraId="6FBF7AF2" w14:textId="77777777" w:rsidR="00F53ED8" w:rsidRDefault="00F53ED8" w:rsidP="00965A29">
      <w:pPr>
        <w:jc w:val="center"/>
        <w:rPr>
          <w:rFonts w:ascii="Times New Roman" w:hAnsi="Times New Roman" w:cs="Times New Roman"/>
          <w:sz w:val="28"/>
        </w:rPr>
      </w:pPr>
    </w:p>
    <w:p w14:paraId="5FDBBF6D" w14:textId="77777777" w:rsidR="00A4485D" w:rsidRDefault="00A4485D" w:rsidP="00965A29">
      <w:pPr>
        <w:jc w:val="center"/>
        <w:rPr>
          <w:rFonts w:ascii="Times New Roman" w:hAnsi="Times New Roman" w:cs="Times New Roman"/>
          <w:sz w:val="28"/>
        </w:rPr>
      </w:pPr>
    </w:p>
    <w:p w14:paraId="49F2E7B9" w14:textId="3A9E7284" w:rsidR="00A4485D" w:rsidRDefault="00A4485D" w:rsidP="00965A2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9C0C8A" wp14:editId="24E98FB0">
                <wp:simplePos x="0" y="0"/>
                <wp:positionH relativeFrom="column">
                  <wp:posOffset>2658147</wp:posOffset>
                </wp:positionH>
                <wp:positionV relativeFrom="paragraph">
                  <wp:posOffset>405653</wp:posOffset>
                </wp:positionV>
                <wp:extent cx="564777" cy="336176"/>
                <wp:effectExtent l="0" t="0" r="0" b="0"/>
                <wp:wrapNone/>
                <wp:docPr id="177865321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336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D0245C8" id="Прямоугольник 43" o:spid="_x0000_s1026" style="position:absolute;margin-left:209.3pt;margin-top:31.95pt;width:44.45pt;height:26.4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" fillcolor="white [3201]" stroked="f" strokeweight="1pt"/>
            </w:pict>
          </mc:Fallback>
        </mc:AlternateContent>
      </w:r>
    </w:p>
    <w:p w14:paraId="6F83EB6B" w14:textId="77777777" w:rsidR="00965A29" w:rsidRPr="00466495" w:rsidRDefault="00965A29" w:rsidP="00965A29">
      <w:pPr>
        <w:jc w:val="center"/>
        <w:rPr>
          <w:rFonts w:ascii="Times New Roman" w:hAnsi="Times New Roman" w:cs="Times New Roman"/>
          <w:sz w:val="28"/>
        </w:rPr>
      </w:pPr>
      <w:r w:rsidRPr="00466495">
        <w:rPr>
          <w:rFonts w:ascii="Times New Roman" w:hAnsi="Times New Roman" w:cs="Times New Roman"/>
          <w:sz w:val="28"/>
        </w:rPr>
        <w:lastRenderedPageBreak/>
        <w:t>ВВЕДЕНИЕ</w:t>
      </w:r>
    </w:p>
    <w:p w14:paraId="32EB5D5C" w14:textId="77777777" w:rsidR="00492D7F" w:rsidRDefault="00492D7F" w:rsidP="005440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59E026C" w14:textId="77777777" w:rsidR="00A4485D" w:rsidRDefault="00A4485D" w:rsidP="005440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A696512" w14:textId="77777777" w:rsidR="00544037" w:rsidRPr="00A4485D" w:rsidRDefault="00492D7F" w:rsidP="005440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Актуальность темы исследования. </w:t>
      </w:r>
      <w:r w:rsidR="00544037" w:rsidRPr="00A4485D">
        <w:rPr>
          <w:rFonts w:ascii="Times New Roman" w:hAnsi="Times New Roman" w:cs="Times New Roman"/>
          <w:bCs/>
          <w:sz w:val="28"/>
        </w:rPr>
        <w:t>Инвестиционная деятельность коммерческих банков имеет стратегическое значение не только для отдельной части банковской отрасли и всего государства. Решение проблемы повышения эффективности инвестиционной деятельности коммерческих банков должно быть связано с: экономическим ростом, повышением уровня жизни населения и обеспечение экономической стабильности. Умная инвестиционная политика также позволит эффективно развивать самого коммерческого банка. В Европе банки активно занимаются инвестиционной деятельностью, а для российских банков это является новой и перспективной деятельностью.</w:t>
      </w:r>
    </w:p>
    <w:p w14:paraId="0857246E" w14:textId="77777777" w:rsidR="00544037" w:rsidRPr="00A4485D" w:rsidRDefault="00544037" w:rsidP="008502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sz w:val="28"/>
        </w:rPr>
        <w:t>Банковский сектор в современных реалиях рыночной экономики обладает наибольшим инвестиционным потенциалом, благодаря чему можно говорить о помощи коммерческих банков в повышении инвестиционной активности. Инвестиционная деятельность банка в основном включает в себя мобилизацию финансовых ресурсов на инвестиционные цели, способствуя тем самым экономическому развитию. Взаимосвязь эффективного развития банковского сектора и экономики определяет целесообразность увеличения участия денежных институтов в инвестиционном процессе.</w:t>
      </w:r>
    </w:p>
    <w:p w14:paraId="121D4EFB" w14:textId="77777777" w:rsidR="008E17D0" w:rsidRPr="00A4485D" w:rsidRDefault="00240916" w:rsidP="0085023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485D">
        <w:rPr>
          <w:rFonts w:ascii="Times New Roman" w:hAnsi="Times New Roman" w:cs="Times New Roman"/>
          <w:bCs/>
          <w:sz w:val="28"/>
          <w:szCs w:val="24"/>
        </w:rPr>
        <w:t xml:space="preserve">Об актуальности темы исследования свидетельствуют </w:t>
      </w:r>
      <w:r w:rsidR="008E17D0" w:rsidRPr="00A4485D">
        <w:rPr>
          <w:rFonts w:ascii="Times New Roman" w:hAnsi="Times New Roman" w:cs="Times New Roman"/>
          <w:bCs/>
          <w:sz w:val="28"/>
          <w:szCs w:val="24"/>
        </w:rPr>
        <w:t>следующие обстоятельства:</w:t>
      </w:r>
    </w:p>
    <w:p w14:paraId="096B9D72" w14:textId="21F68AD2" w:rsidR="008E17D0" w:rsidRPr="00A4485D" w:rsidRDefault="008E17D0" w:rsidP="0085023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485D"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C661E6">
        <w:rPr>
          <w:rFonts w:ascii="Times New Roman" w:hAnsi="Times New Roman" w:cs="Times New Roman"/>
          <w:bCs/>
          <w:sz w:val="28"/>
          <w:szCs w:val="24"/>
        </w:rPr>
        <w:t>в</w:t>
      </w:r>
      <w:r w:rsidRPr="00A4485D">
        <w:rPr>
          <w:rFonts w:ascii="Times New Roman" w:hAnsi="Times New Roman" w:cs="Times New Roman"/>
          <w:bCs/>
          <w:sz w:val="28"/>
          <w:szCs w:val="24"/>
        </w:rPr>
        <w:t xml:space="preserve"> условиях нестабильной современной финансовой среды кардинально меняются место и роль коммерческих банков;</w:t>
      </w:r>
    </w:p>
    <w:p w14:paraId="0083E2FA" w14:textId="6051E142" w:rsidR="008E17D0" w:rsidRPr="00A4485D" w:rsidRDefault="008E17D0" w:rsidP="0085023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485D">
        <w:rPr>
          <w:rFonts w:ascii="Times New Roman" w:hAnsi="Times New Roman" w:cs="Times New Roman"/>
          <w:bCs/>
          <w:sz w:val="28"/>
          <w:szCs w:val="24"/>
        </w:rPr>
        <w:t>-</w:t>
      </w:r>
      <w:r w:rsidR="00C661E6">
        <w:rPr>
          <w:rFonts w:ascii="Times New Roman" w:hAnsi="Times New Roman" w:cs="Times New Roman"/>
          <w:bCs/>
          <w:sz w:val="28"/>
          <w:szCs w:val="24"/>
        </w:rPr>
        <w:t xml:space="preserve"> к</w:t>
      </w:r>
      <w:r w:rsidRPr="00A4485D">
        <w:rPr>
          <w:rFonts w:ascii="Times New Roman" w:hAnsi="Times New Roman" w:cs="Times New Roman"/>
          <w:bCs/>
          <w:sz w:val="28"/>
          <w:szCs w:val="24"/>
        </w:rPr>
        <w:t>ак коммерческие банки осуществляют свою инвестиционную деятельность исходя из экономической ситуации, выборе эффективной инвестиционной стратегии и рисков;</w:t>
      </w:r>
    </w:p>
    <w:p w14:paraId="5EA74C03" w14:textId="44F794B1" w:rsidR="008E17D0" w:rsidRPr="00A4485D" w:rsidRDefault="008E17D0" w:rsidP="0085023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485D"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C661E6">
        <w:rPr>
          <w:rFonts w:ascii="Times New Roman" w:hAnsi="Times New Roman" w:cs="Times New Roman"/>
          <w:bCs/>
          <w:sz w:val="28"/>
          <w:szCs w:val="24"/>
        </w:rPr>
        <w:t>в</w:t>
      </w:r>
      <w:r w:rsidRPr="00A4485D">
        <w:rPr>
          <w:rFonts w:ascii="Times New Roman" w:hAnsi="Times New Roman" w:cs="Times New Roman"/>
          <w:bCs/>
          <w:sz w:val="28"/>
          <w:szCs w:val="24"/>
        </w:rPr>
        <w:t xml:space="preserve"> какие отрасли коммерческие банки направляют свой основной поток инвестиций;</w:t>
      </w:r>
    </w:p>
    <w:p w14:paraId="531BFBF6" w14:textId="2CA31B1A" w:rsidR="0085023D" w:rsidRPr="00A4485D" w:rsidRDefault="008E17D0" w:rsidP="0085023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485D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- </w:t>
      </w:r>
      <w:r w:rsidR="00C661E6">
        <w:rPr>
          <w:rFonts w:ascii="Times New Roman" w:hAnsi="Times New Roman" w:cs="Times New Roman"/>
          <w:bCs/>
          <w:sz w:val="28"/>
          <w:szCs w:val="24"/>
        </w:rPr>
        <w:t>к</w:t>
      </w:r>
      <w:r w:rsidRPr="00A4485D">
        <w:rPr>
          <w:rFonts w:ascii="Times New Roman" w:hAnsi="Times New Roman" w:cs="Times New Roman"/>
          <w:bCs/>
          <w:sz w:val="28"/>
          <w:szCs w:val="24"/>
        </w:rPr>
        <w:t xml:space="preserve">ак инвестирование в промышленность повлияет на дальнейшее </w:t>
      </w:r>
      <w:r w:rsidR="0085023D" w:rsidRPr="00A4485D">
        <w:rPr>
          <w:rFonts w:ascii="Times New Roman" w:hAnsi="Times New Roman" w:cs="Times New Roman"/>
          <w:bCs/>
          <w:sz w:val="28"/>
          <w:szCs w:val="24"/>
        </w:rPr>
        <w:t>производства, строительства и окружающей среды</w:t>
      </w:r>
      <w:r w:rsidR="00DA4EA2" w:rsidRPr="00A4485D">
        <w:rPr>
          <w:rFonts w:ascii="Times New Roman" w:hAnsi="Times New Roman" w:cs="Times New Roman"/>
          <w:bCs/>
          <w:sz w:val="28"/>
          <w:szCs w:val="24"/>
        </w:rPr>
        <w:t>.</w:t>
      </w:r>
    </w:p>
    <w:p w14:paraId="739DEEBF" w14:textId="77777777" w:rsidR="0085023D" w:rsidRPr="00A4485D" w:rsidRDefault="0085023D" w:rsidP="0085023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Кроме того, до настоящего времени не сформировался системный подход к изучению инвестиционной политики коммерческого банка, который позволил бы объединить теоретические аспекты реализации успешной инвестиционной политики и организационно-практические основы управления </w:t>
      </w:r>
      <w:r w:rsidR="00492D7F" w:rsidRPr="00A4485D">
        <w:rPr>
          <w:rFonts w:ascii="Times New Roman" w:hAnsi="Times New Roman" w:cs="Times New Roman"/>
          <w:bCs/>
          <w:color w:val="000000" w:themeColor="text1"/>
          <w:sz w:val="28"/>
        </w:rPr>
        <w:t>инвестициями в банковской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сфере.</w:t>
      </w:r>
    </w:p>
    <w:p w14:paraId="0CDD0230" w14:textId="77777777" w:rsidR="0085023D" w:rsidRPr="00A4485D" w:rsidRDefault="0085023D" w:rsidP="0085023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Итак, несмотря на значительный интерес к данной теме, остается ряд не исследованных вопрос, которые возникли из-за недостаточной изученности теоретики-методологических аспектов, а также вследствие реальных проблем в области инвестиционной политики коммерческого банка.</w:t>
      </w:r>
    </w:p>
    <w:p w14:paraId="15A99507" w14:textId="77777777" w:rsidR="0085023D" w:rsidRPr="00A4485D" w:rsidRDefault="00492D7F" w:rsidP="0085023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Степень научной разработанности.</w:t>
      </w:r>
      <w:r w:rsidRPr="00A4485D">
        <w:rPr>
          <w:rFonts w:ascii="Arial" w:eastAsiaTheme="minorEastAsia" w:hAnsi="Arial"/>
          <w:bCs/>
          <w:color w:val="000000" w:themeColor="text1"/>
          <w:kern w:val="24"/>
          <w:sz w:val="28"/>
          <w:szCs w:val="28"/>
        </w:rPr>
        <w:t xml:space="preserve"> </w:t>
      </w:r>
      <w:r w:rsidR="0085023D" w:rsidRPr="00A4485D">
        <w:rPr>
          <w:rFonts w:ascii="Times New Roman" w:hAnsi="Times New Roman" w:cs="Times New Roman"/>
          <w:bCs/>
          <w:color w:val="000000" w:themeColor="text1"/>
          <w:sz w:val="28"/>
        </w:rPr>
        <w:t>Обсуждением проблем, связанных с инвестиционной политикой коммерческого банка в условиях современной экономики, должно получить отражение в прикладных исследованиях.</w:t>
      </w:r>
    </w:p>
    <w:p w14:paraId="25C6D9C1" w14:textId="77777777" w:rsidR="0085023D" w:rsidRPr="00A4485D" w:rsidRDefault="0085023D" w:rsidP="008502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Основу </w:t>
      </w:r>
      <w:r w:rsidR="00492D7F" w:rsidRPr="00A4485D">
        <w:rPr>
          <w:rFonts w:ascii="Times New Roman" w:hAnsi="Times New Roman" w:cs="Times New Roman"/>
          <w:bCs/>
          <w:color w:val="000000" w:themeColor="text1"/>
          <w:sz w:val="28"/>
        </w:rPr>
        <w:t>выпускной квалификационной работы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составили труды по российских ученых, таких как Л.И. </w:t>
      </w:r>
      <w:proofErr w:type="spellStart"/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Юзвович</w:t>
      </w:r>
      <w:proofErr w:type="spellEnd"/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, Е.А. </w:t>
      </w:r>
      <w:proofErr w:type="spellStart"/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Помогаева</w:t>
      </w:r>
      <w:proofErr w:type="spellEnd"/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, М.Ю. Головин, Л.Н. Красавина, Н.И. </w:t>
      </w:r>
      <w:proofErr w:type="spellStart"/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Валенцева</w:t>
      </w:r>
      <w:proofErr w:type="spellEnd"/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, Я.П. Силин, Ю.В. Куваева, В.А. </w:t>
      </w:r>
      <w:proofErr w:type="spellStart"/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Татьянников</w:t>
      </w:r>
      <w:proofErr w:type="spellEnd"/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, </w:t>
      </w:r>
      <w:r w:rsidR="00492D7F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М.С. </w:t>
      </w:r>
      <w:proofErr w:type="spellStart"/>
      <w:r w:rsidR="00492D7F" w:rsidRPr="00A4485D">
        <w:rPr>
          <w:rFonts w:ascii="Times New Roman" w:hAnsi="Times New Roman" w:cs="Times New Roman"/>
          <w:bCs/>
          <w:color w:val="000000" w:themeColor="text1"/>
          <w:sz w:val="28"/>
        </w:rPr>
        <w:t>Марамыгин</w:t>
      </w:r>
      <w:proofErr w:type="spellEnd"/>
      <w:r w:rsidR="00492D7F" w:rsidRPr="00A4485D">
        <w:rPr>
          <w:rFonts w:ascii="Times New Roman" w:hAnsi="Times New Roman" w:cs="Times New Roman"/>
          <w:bCs/>
          <w:color w:val="000000" w:themeColor="text1"/>
          <w:sz w:val="28"/>
        </w:rPr>
        <w:t>, Е.Н. Прокофьева и другие.</w:t>
      </w:r>
    </w:p>
    <w:p w14:paraId="589C7B08" w14:textId="77777777" w:rsidR="004E0342" w:rsidRPr="00A4485D" w:rsidRDefault="0085023D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Большой вклад в формирование теории инвестиционной политики, используемый автором в научном исследовании </w:t>
      </w:r>
      <w:r w:rsidR="008C021A" w:rsidRPr="00A4485D">
        <w:rPr>
          <w:rFonts w:ascii="Times New Roman" w:hAnsi="Times New Roman" w:cs="Times New Roman"/>
          <w:bCs/>
          <w:color w:val="000000" w:themeColor="text1"/>
          <w:sz w:val="28"/>
        </w:rPr>
        <w:t>ее экономической сущности, содержания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и </w:t>
      </w:r>
      <w:r w:rsidR="008C021A" w:rsidRPr="00A4485D">
        <w:rPr>
          <w:rFonts w:ascii="Times New Roman" w:hAnsi="Times New Roman" w:cs="Times New Roman"/>
          <w:bCs/>
          <w:color w:val="000000" w:themeColor="text1"/>
          <w:sz w:val="28"/>
        </w:rPr>
        <w:t>основных направлениях</w:t>
      </w:r>
      <w:r w:rsidR="009C1406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реализации, внесли </w:t>
      </w:r>
      <w:r w:rsidR="009C1406" w:rsidRPr="00A4485D">
        <w:rPr>
          <w:rFonts w:ascii="Times New Roman" w:hAnsi="Times New Roman" w:cs="Times New Roman"/>
          <w:bCs/>
          <w:sz w:val="28"/>
        </w:rPr>
        <w:t xml:space="preserve">представители российской академической школы, такие как Г. </w:t>
      </w:r>
      <w:proofErr w:type="spellStart"/>
      <w:r w:rsidR="009C1406" w:rsidRPr="00A4485D">
        <w:rPr>
          <w:rFonts w:ascii="Times New Roman" w:hAnsi="Times New Roman" w:cs="Times New Roman"/>
          <w:bCs/>
          <w:sz w:val="28"/>
        </w:rPr>
        <w:t>Марковиц</w:t>
      </w:r>
      <w:proofErr w:type="spellEnd"/>
      <w:r w:rsidR="009C1406" w:rsidRPr="00A4485D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9C1406" w:rsidRPr="00A4485D">
        <w:rPr>
          <w:rFonts w:ascii="Times New Roman" w:hAnsi="Times New Roman" w:cs="Times New Roman"/>
          <w:bCs/>
          <w:sz w:val="28"/>
        </w:rPr>
        <w:t>Л.И.Абалкина</w:t>
      </w:r>
      <w:proofErr w:type="spellEnd"/>
      <w:r w:rsidR="009C1406" w:rsidRPr="00A4485D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9C1406" w:rsidRPr="00A4485D">
        <w:rPr>
          <w:rFonts w:ascii="Times New Roman" w:hAnsi="Times New Roman" w:cs="Times New Roman"/>
          <w:bCs/>
          <w:sz w:val="28"/>
        </w:rPr>
        <w:t>Б.А.Райзберга</w:t>
      </w:r>
      <w:proofErr w:type="spellEnd"/>
      <w:r w:rsidR="009C1406" w:rsidRPr="00A4485D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9C1406" w:rsidRPr="00A4485D">
        <w:rPr>
          <w:rFonts w:ascii="Times New Roman" w:hAnsi="Times New Roman" w:cs="Times New Roman"/>
          <w:bCs/>
          <w:sz w:val="28"/>
        </w:rPr>
        <w:t>Л.Ш.Лозовского</w:t>
      </w:r>
      <w:proofErr w:type="spellEnd"/>
      <w:r w:rsidR="009C1406" w:rsidRPr="00A4485D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9C1406" w:rsidRPr="00A4485D">
        <w:rPr>
          <w:rFonts w:ascii="Times New Roman" w:hAnsi="Times New Roman" w:cs="Times New Roman"/>
          <w:bCs/>
          <w:sz w:val="28"/>
        </w:rPr>
        <w:t>М.А.Рогова</w:t>
      </w:r>
      <w:proofErr w:type="spellEnd"/>
      <w:r w:rsidR="00277C01" w:rsidRPr="00A4485D">
        <w:rPr>
          <w:rFonts w:ascii="Times New Roman" w:hAnsi="Times New Roman" w:cs="Times New Roman"/>
          <w:bCs/>
          <w:sz w:val="28"/>
        </w:rPr>
        <w:t xml:space="preserve">, </w:t>
      </w:r>
      <w:r w:rsidR="004E0342" w:rsidRPr="00A4485D">
        <w:rPr>
          <w:rFonts w:ascii="Times New Roman" w:hAnsi="Times New Roman" w:cs="Times New Roman"/>
          <w:bCs/>
          <w:sz w:val="28"/>
        </w:rPr>
        <w:t xml:space="preserve">Э.А. Калафатов, Н.А. </w:t>
      </w:r>
      <w:proofErr w:type="spellStart"/>
      <w:r w:rsidR="004E0342" w:rsidRPr="00A4485D">
        <w:rPr>
          <w:rFonts w:ascii="Times New Roman" w:hAnsi="Times New Roman" w:cs="Times New Roman"/>
          <w:bCs/>
          <w:sz w:val="28"/>
        </w:rPr>
        <w:t>Аполонова</w:t>
      </w:r>
      <w:proofErr w:type="spellEnd"/>
      <w:r w:rsidR="004E0342" w:rsidRPr="00A4485D">
        <w:rPr>
          <w:rFonts w:ascii="Times New Roman" w:hAnsi="Times New Roman" w:cs="Times New Roman"/>
          <w:bCs/>
          <w:sz w:val="28"/>
        </w:rPr>
        <w:t xml:space="preserve">, О.В. Глушак, Е.А. Разумовская. </w:t>
      </w:r>
    </w:p>
    <w:p w14:paraId="0628CB69" w14:textId="77777777" w:rsidR="004E0342" w:rsidRPr="00A4485D" w:rsidRDefault="008C021A" w:rsidP="008C02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Фундаментальное обоснование методологического инструментария управления инвестиционной политики коммерческого банка нашли отражение в научных исследованиях: </w:t>
      </w:r>
      <w:r w:rsidR="004E0342" w:rsidRPr="00A4485D">
        <w:rPr>
          <w:rFonts w:ascii="Times New Roman" w:hAnsi="Times New Roman" w:cs="Times New Roman"/>
          <w:bCs/>
          <w:sz w:val="28"/>
        </w:rPr>
        <w:t xml:space="preserve">Э.А. Калафатов, Н.А. </w:t>
      </w:r>
      <w:proofErr w:type="spellStart"/>
      <w:r w:rsidR="004E0342" w:rsidRPr="00A4485D">
        <w:rPr>
          <w:rFonts w:ascii="Times New Roman" w:hAnsi="Times New Roman" w:cs="Times New Roman"/>
          <w:bCs/>
          <w:sz w:val="28"/>
        </w:rPr>
        <w:t>Аполонова</w:t>
      </w:r>
      <w:proofErr w:type="spellEnd"/>
      <w:r w:rsidR="004E0342" w:rsidRPr="00A4485D">
        <w:rPr>
          <w:rFonts w:ascii="Times New Roman" w:hAnsi="Times New Roman" w:cs="Times New Roman"/>
          <w:bCs/>
          <w:sz w:val="28"/>
        </w:rPr>
        <w:t xml:space="preserve">, О.В. Глушак, Е.А. Разумовская, И.В. </w:t>
      </w:r>
      <w:proofErr w:type="spellStart"/>
      <w:r w:rsidR="004E0342" w:rsidRPr="00A4485D">
        <w:rPr>
          <w:rFonts w:ascii="Times New Roman" w:hAnsi="Times New Roman" w:cs="Times New Roman"/>
          <w:bCs/>
          <w:sz w:val="28"/>
        </w:rPr>
        <w:t>Борщук</w:t>
      </w:r>
      <w:proofErr w:type="spellEnd"/>
      <w:r w:rsidR="004E0342" w:rsidRPr="00A4485D">
        <w:rPr>
          <w:rFonts w:ascii="Times New Roman" w:hAnsi="Times New Roman" w:cs="Times New Roman"/>
          <w:bCs/>
          <w:sz w:val="28"/>
        </w:rPr>
        <w:t>, М.В. Чиненов, И.А. Лиман.</w:t>
      </w:r>
    </w:p>
    <w:p w14:paraId="66102507" w14:textId="77777777" w:rsidR="008C021A" w:rsidRPr="00A4485D" w:rsidRDefault="008C021A" w:rsidP="002969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Методическое обоснование финансовых показателей и рисков при реализации инвестиционной политики коммерческого банка в условиях 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>экономической многополярности и неопределенности исследуются в трудах:</w:t>
      </w:r>
      <w:r w:rsidR="00296982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="00296982" w:rsidRPr="00A4485D">
        <w:rPr>
          <w:rFonts w:ascii="Times New Roman" w:hAnsi="Times New Roman" w:cs="Times New Roman"/>
          <w:bCs/>
          <w:sz w:val="28"/>
        </w:rPr>
        <w:t xml:space="preserve">Э.А. Калафатов, Н.А. </w:t>
      </w:r>
      <w:proofErr w:type="spellStart"/>
      <w:r w:rsidR="00296982" w:rsidRPr="00A4485D">
        <w:rPr>
          <w:rFonts w:ascii="Times New Roman" w:hAnsi="Times New Roman" w:cs="Times New Roman"/>
          <w:bCs/>
          <w:sz w:val="28"/>
        </w:rPr>
        <w:t>Аполонова</w:t>
      </w:r>
      <w:proofErr w:type="spellEnd"/>
      <w:r w:rsidR="00296982" w:rsidRPr="00A4485D">
        <w:rPr>
          <w:rFonts w:ascii="Times New Roman" w:hAnsi="Times New Roman" w:cs="Times New Roman"/>
          <w:bCs/>
          <w:sz w:val="28"/>
        </w:rPr>
        <w:t xml:space="preserve">, О.В. Глушак, Е.А. Разумовская, И.В. </w:t>
      </w:r>
      <w:proofErr w:type="spellStart"/>
      <w:r w:rsidR="00296982" w:rsidRPr="00A4485D">
        <w:rPr>
          <w:rFonts w:ascii="Times New Roman" w:hAnsi="Times New Roman" w:cs="Times New Roman"/>
          <w:bCs/>
          <w:sz w:val="28"/>
        </w:rPr>
        <w:t>Борщук</w:t>
      </w:r>
      <w:proofErr w:type="spellEnd"/>
      <w:r w:rsidR="00296982" w:rsidRPr="00A4485D">
        <w:rPr>
          <w:rFonts w:ascii="Times New Roman" w:hAnsi="Times New Roman" w:cs="Times New Roman"/>
          <w:bCs/>
          <w:sz w:val="28"/>
        </w:rPr>
        <w:t>, М.В. Чиненов, И.А. Лиман</w:t>
      </w:r>
    </w:p>
    <w:p w14:paraId="14696BFE" w14:textId="77777777" w:rsidR="009C1406" w:rsidRPr="00A4485D" w:rsidRDefault="009C140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В настоящее время целостное исследование инвестиционной политики подразумевает </w:t>
      </w:r>
      <w:r w:rsidR="00A94631" w:rsidRPr="00A4485D">
        <w:rPr>
          <w:rFonts w:ascii="Times New Roman" w:hAnsi="Times New Roman" w:cs="Times New Roman"/>
          <w:bCs/>
          <w:color w:val="000000" w:themeColor="text1"/>
          <w:sz w:val="28"/>
        </w:rPr>
        <w:t>ее системный анализ и обобщение, а также процесс управления инвестиционным портфелем банка.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Особое влияние на научное исследование оказали труды М.В. Чиненов, Е.А. Разумовская, Л.Л. Игонин</w:t>
      </w:r>
      <w:r w:rsidR="00492D7F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а, Г.Г. Коробова, </w:t>
      </w:r>
      <w:r w:rsidR="00492D7F" w:rsidRPr="00A4485D">
        <w:rPr>
          <w:rFonts w:ascii="Times New Roman" w:hAnsi="Times New Roman" w:cs="Times New Roman"/>
          <w:bCs/>
          <w:sz w:val="28"/>
        </w:rPr>
        <w:t xml:space="preserve">О.Г. </w:t>
      </w:r>
      <w:proofErr w:type="spellStart"/>
      <w:r w:rsidR="00492D7F" w:rsidRPr="00A4485D">
        <w:rPr>
          <w:rFonts w:ascii="Times New Roman" w:hAnsi="Times New Roman" w:cs="Times New Roman"/>
          <w:bCs/>
          <w:sz w:val="28"/>
        </w:rPr>
        <w:t>Семенюта</w:t>
      </w:r>
      <w:proofErr w:type="spellEnd"/>
      <w:r w:rsidR="004E0342" w:rsidRPr="00A4485D">
        <w:rPr>
          <w:rFonts w:ascii="Times New Roman" w:hAnsi="Times New Roman" w:cs="Times New Roman"/>
          <w:bCs/>
          <w:sz w:val="28"/>
        </w:rPr>
        <w:t xml:space="preserve">, И.В. </w:t>
      </w:r>
      <w:proofErr w:type="spellStart"/>
      <w:r w:rsidR="004E0342" w:rsidRPr="00A4485D">
        <w:rPr>
          <w:rFonts w:ascii="Times New Roman" w:hAnsi="Times New Roman" w:cs="Times New Roman"/>
          <w:bCs/>
          <w:sz w:val="28"/>
        </w:rPr>
        <w:t>Борщук</w:t>
      </w:r>
      <w:proofErr w:type="spellEnd"/>
      <w:r w:rsidR="004E0342" w:rsidRPr="00A4485D">
        <w:rPr>
          <w:rFonts w:ascii="Times New Roman" w:hAnsi="Times New Roman" w:cs="Times New Roman"/>
          <w:bCs/>
          <w:sz w:val="28"/>
        </w:rPr>
        <w:t>, М.В. Чиненов, И.А. Лиман.</w:t>
      </w:r>
    </w:p>
    <w:p w14:paraId="2B6098B6" w14:textId="77777777" w:rsidR="00A94631" w:rsidRPr="00A4485D" w:rsidRDefault="00A94631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Вопросами риск-ориентированного подхода в рамках реализации инвестиционной политики коммерческого банка, в том числе моделирование, </w:t>
      </w:r>
      <w:r w:rsidRPr="00A4485D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ESG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– риски, факторы доходности, занимаются такие ученые и специалисты, как: </w:t>
      </w:r>
      <w:r w:rsidR="004E0342" w:rsidRPr="00A4485D">
        <w:rPr>
          <w:rFonts w:ascii="Times New Roman" w:hAnsi="Times New Roman" w:cs="Times New Roman"/>
          <w:bCs/>
          <w:sz w:val="28"/>
        </w:rPr>
        <w:t xml:space="preserve">Б.А. Доронин, В.Д. Смирнов, О.В. Глушак, Е.А. Разумовская, И.В. </w:t>
      </w:r>
      <w:proofErr w:type="spellStart"/>
      <w:r w:rsidR="004E0342" w:rsidRPr="00A4485D">
        <w:rPr>
          <w:rFonts w:ascii="Times New Roman" w:hAnsi="Times New Roman" w:cs="Times New Roman"/>
          <w:bCs/>
          <w:sz w:val="28"/>
        </w:rPr>
        <w:t>Борщук</w:t>
      </w:r>
      <w:proofErr w:type="spellEnd"/>
      <w:r w:rsidR="004E0342" w:rsidRPr="00A4485D">
        <w:rPr>
          <w:rFonts w:ascii="Times New Roman" w:hAnsi="Times New Roman" w:cs="Times New Roman"/>
          <w:bCs/>
          <w:sz w:val="28"/>
        </w:rPr>
        <w:t xml:space="preserve">, М.В. Чиненов, </w:t>
      </w:r>
      <w:r w:rsidR="00296982" w:rsidRPr="00A4485D">
        <w:rPr>
          <w:rFonts w:ascii="Times New Roman" w:hAnsi="Times New Roman" w:cs="Times New Roman"/>
          <w:bCs/>
          <w:sz w:val="28"/>
        </w:rPr>
        <w:t>С.Б. Сафронов</w:t>
      </w:r>
      <w:r w:rsidR="004E0342" w:rsidRPr="00A4485D">
        <w:rPr>
          <w:rFonts w:ascii="Times New Roman" w:hAnsi="Times New Roman" w:cs="Times New Roman"/>
          <w:bCs/>
          <w:sz w:val="28"/>
        </w:rPr>
        <w:t>.</w:t>
      </w:r>
    </w:p>
    <w:p w14:paraId="33CF42C1" w14:textId="77777777" w:rsidR="009C1406" w:rsidRPr="00A4485D" w:rsidRDefault="009C140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sz w:val="28"/>
        </w:rPr>
        <w:t>Несмотря на значительный вклад перечисленных авторов в изучении данной проблемы, системный подход к исследованию инвестиционной политики коммерческого банка в постоянном дополнении и уточнении.</w:t>
      </w:r>
    </w:p>
    <w:p w14:paraId="3140A847" w14:textId="77777777" w:rsidR="009C1406" w:rsidRPr="00A4485D" w:rsidRDefault="009C140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sz w:val="28"/>
        </w:rPr>
        <w:t xml:space="preserve">Объектом исследования </w:t>
      </w:r>
      <w:r w:rsidR="00A94631" w:rsidRPr="00A4485D">
        <w:rPr>
          <w:rFonts w:ascii="Times New Roman" w:hAnsi="Times New Roman" w:cs="Times New Roman"/>
          <w:bCs/>
          <w:color w:val="000000" w:themeColor="text1"/>
          <w:sz w:val="28"/>
        </w:rPr>
        <w:t>выступает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Pr="00A4485D">
        <w:rPr>
          <w:rFonts w:ascii="Times New Roman" w:hAnsi="Times New Roman" w:cs="Times New Roman"/>
          <w:bCs/>
          <w:sz w:val="28"/>
        </w:rPr>
        <w:t>«Газпромбанк» (АО).</w:t>
      </w:r>
    </w:p>
    <w:p w14:paraId="18846E2F" w14:textId="77777777" w:rsidR="009C1406" w:rsidRPr="00A4485D" w:rsidRDefault="009C140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sz w:val="28"/>
        </w:rPr>
        <w:t>Предметом исследования являются экономические отношения, возникающие в процессе формирования и реализации инвестиционной политики коммерческого банка.</w:t>
      </w:r>
    </w:p>
    <w:p w14:paraId="2B83B201" w14:textId="77777777" w:rsidR="00DA4EA2" w:rsidRPr="00A4485D" w:rsidRDefault="009C140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Целью 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</w:rPr>
        <w:t>выпускной квалификационной работы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является развитие теоретических и методических подходов к процессу </w:t>
      </w:r>
      <w:r w:rsidR="00A94631" w:rsidRPr="00A4485D">
        <w:rPr>
          <w:rFonts w:ascii="Times New Roman" w:hAnsi="Times New Roman" w:cs="Times New Roman"/>
          <w:bCs/>
          <w:color w:val="000000" w:themeColor="text1"/>
          <w:sz w:val="28"/>
        </w:rPr>
        <w:t>формирования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и реализации 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инвестиционной </w:t>
      </w:r>
      <w:r w:rsidR="00A94631" w:rsidRPr="00A4485D">
        <w:rPr>
          <w:rFonts w:ascii="Times New Roman" w:hAnsi="Times New Roman" w:cs="Times New Roman"/>
          <w:bCs/>
          <w:color w:val="000000" w:themeColor="text1"/>
          <w:sz w:val="28"/>
        </w:rPr>
        <w:t>политики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коммерческого банка, 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моделирование 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эффективного управления инвестиционным портфелем коммерческого банка на основе сценарного подхода.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</w:p>
    <w:p w14:paraId="76509B4A" w14:textId="77777777" w:rsidR="009C1406" w:rsidRPr="00A4485D" w:rsidRDefault="006F41A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Для достижения указанной цели поставлены и решены следующие задачи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исследования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:</w:t>
      </w:r>
    </w:p>
    <w:p w14:paraId="0D62584D" w14:textId="0877F8D7" w:rsidR="006F41A6" w:rsidRPr="00A4485D" w:rsidRDefault="006F41A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- </w:t>
      </w:r>
      <w:r w:rsidR="00C661E6">
        <w:rPr>
          <w:rFonts w:ascii="Times New Roman" w:hAnsi="Times New Roman" w:cs="Times New Roman"/>
          <w:bCs/>
          <w:color w:val="000000" w:themeColor="text1"/>
          <w:sz w:val="28"/>
        </w:rPr>
        <w:t>с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истематизировать теоретические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и научные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положения исследования формирования и реализации инвестиционной политики коммерческого банка 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>с целью воз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</w:rPr>
        <w:t>действия ее на различные сегменты доходности и риска при управлении инвестициями в банковском секторе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;</w:t>
      </w:r>
    </w:p>
    <w:p w14:paraId="10E2438A" w14:textId="68A57A03" w:rsidR="006F41A6" w:rsidRPr="00A4485D" w:rsidRDefault="006F41A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- </w:t>
      </w:r>
      <w:r w:rsidR="00C661E6">
        <w:rPr>
          <w:rFonts w:ascii="Times New Roman" w:hAnsi="Times New Roman" w:cs="Times New Roman"/>
          <w:bCs/>
          <w:color w:val="000000" w:themeColor="text1"/>
          <w:sz w:val="28"/>
        </w:rPr>
        <w:t>п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редставить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методические подходы к реализации инвестиционной политики коммерческого банка и формирования инвестиционного портфеля, 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>опираясь на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экономическую ситуацию и риски потерь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 прибыли;</w:t>
      </w:r>
    </w:p>
    <w:p w14:paraId="5345B623" w14:textId="43D5DBED" w:rsidR="00DA4EA2" w:rsidRPr="00A4485D" w:rsidRDefault="006F41A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- </w:t>
      </w:r>
      <w:r w:rsidR="00C661E6">
        <w:rPr>
          <w:rFonts w:ascii="Times New Roman" w:hAnsi="Times New Roman" w:cs="Times New Roman"/>
          <w:bCs/>
          <w:color w:val="000000" w:themeColor="text1"/>
          <w:sz w:val="28"/>
        </w:rPr>
        <w:t>р</w:t>
      </w:r>
      <w:r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азработать методику </w:t>
      </w:r>
      <w:r w:rsidR="00DA4EA2" w:rsidRPr="00A44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эффективного управления инвестиционным портфелем коммерческого банка на основе сценарного подхода, при осуществлении моделирования оценки влияния ESG-рисков и факторов доходности инвестиционного портфеля в рамках реализации инвестиционной политики коммерческого банка.</w:t>
      </w:r>
    </w:p>
    <w:p w14:paraId="34692E9D" w14:textId="77777777" w:rsidR="006F41A6" w:rsidRPr="00A4485D" w:rsidRDefault="006F41A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sz w:val="28"/>
        </w:rPr>
        <w:t>Теоретической и методологической основной выпускной квалификационной работы послужили труду отечественных и зарубежных авторов в области теории инвестиций, инвестиционной деятельности и инвестиционной политики коммерческого банка, научные и методические публикации, статьи в отечественной и зарубежной периодической печати, материалы научных конференций, дискуссии, а также законодательные и нормативные акты, которые регулируют инвестиционную деятельность Российской Федерации.</w:t>
      </w:r>
    </w:p>
    <w:p w14:paraId="422E04F7" w14:textId="77777777" w:rsidR="006F41A6" w:rsidRPr="00A4485D" w:rsidRDefault="006F41A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sz w:val="28"/>
        </w:rPr>
        <w:t xml:space="preserve">В исследованиях использовались общенаучные методы познания, экономико-систематические методы обработки информации, </w:t>
      </w:r>
      <w:r w:rsidR="00B71486" w:rsidRPr="00A4485D">
        <w:rPr>
          <w:rFonts w:ascii="Times New Roman" w:hAnsi="Times New Roman" w:cs="Times New Roman"/>
          <w:bCs/>
          <w:color w:val="000000" w:themeColor="text1"/>
          <w:sz w:val="28"/>
        </w:rPr>
        <w:t xml:space="preserve">контент-анализ, </w:t>
      </w:r>
      <w:r w:rsidRPr="00A4485D">
        <w:rPr>
          <w:rFonts w:ascii="Times New Roman" w:hAnsi="Times New Roman" w:cs="Times New Roman"/>
          <w:bCs/>
          <w:sz w:val="28"/>
        </w:rPr>
        <w:t xml:space="preserve">методы системного, сравнительного и функционального анализа с построением аналитических моделей на основе синтеза современных научных методов познания экономических процессов. </w:t>
      </w:r>
    </w:p>
    <w:p w14:paraId="7A815FF4" w14:textId="77777777" w:rsidR="006F41A6" w:rsidRPr="00A4485D" w:rsidRDefault="006F41A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sz w:val="28"/>
        </w:rPr>
        <w:t xml:space="preserve">Информационную базу исследования составили нормативно-правовые акты Российской Федерации и ее субъектов по вопросам инвестиционной политики коммерческого банка, официальные статистические материалы Банка России, аналитические данные </w:t>
      </w:r>
      <w:r w:rsidR="006F1BAF" w:rsidRPr="00A4485D">
        <w:rPr>
          <w:rFonts w:ascii="Times New Roman" w:hAnsi="Times New Roman" w:cs="Times New Roman"/>
          <w:bCs/>
          <w:sz w:val="28"/>
        </w:rPr>
        <w:t>«Газпромбанк» (АО), результаты авторских исследований и расчетов, материалы научно-практических конференций, экспертные сведения периодических изданий, справочные материалы и электронные системы информации.</w:t>
      </w:r>
    </w:p>
    <w:p w14:paraId="504B06E1" w14:textId="77777777" w:rsidR="006F1BAF" w:rsidRPr="00A4485D" w:rsidRDefault="006F1BAF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485D">
        <w:rPr>
          <w:rFonts w:ascii="Times New Roman" w:hAnsi="Times New Roman" w:cs="Times New Roman"/>
          <w:bCs/>
          <w:sz w:val="28"/>
        </w:rPr>
        <w:lastRenderedPageBreak/>
        <w:t>Репрезентативность информационной базы позволяется характеризовать ее как надежную основу для комплексного подхода к формированию инвестиционной политики коммерческого банка.</w:t>
      </w:r>
    </w:p>
    <w:p w14:paraId="6953CD83" w14:textId="77777777" w:rsidR="00B71486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Научная новизна выпускной квалификационной работы исследования состоит в развитии теоретических, методических положений и разработке направлений по совершенствованию инвестиционной политики коммерческого банка путем повышения эффективности управления инвестиционным портфелем банка.</w:t>
      </w:r>
    </w:p>
    <w:p w14:paraId="4F000A62" w14:textId="77777777" w:rsidR="00B71486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Результаты исследования, обладающие, по мнению автора, признаками научной новизны:</w:t>
      </w:r>
    </w:p>
    <w:p w14:paraId="4F9B2BBD" w14:textId="77777777" w:rsidR="00B71486" w:rsidRPr="00A4485D" w:rsidRDefault="00B71486" w:rsidP="00A4485D">
      <w:pPr>
        <w:pStyle w:val="a5"/>
        <w:numPr>
          <w:ilvl w:val="0"/>
          <w:numId w:val="9"/>
        </w:numPr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Систематизированы теоретические и научные положения исследования формирования и реализации инвестиционной политики коммерческого банка с целью воздействия ее на различные сегменты доходности и риска при управлении инвестициями в банковском секторе, а именно:</w:t>
      </w:r>
      <w:r w:rsidR="00C51710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представлена матрица формирование инвестиционного портфеля по соотношению дохо</w:t>
      </w:r>
      <w:r w:rsidR="00AC6049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дности и риска, позволяющая выбрать наиболее оптимальный портфель в соответствии с заданной стратегией собственника бизнеса</w:t>
      </w:r>
      <w:r w:rsidR="005F3008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на основе авторской позиции экономической сущности понятия «инвестиционный портфель» как </w:t>
      </w:r>
      <w:r w:rsidR="005F3008" w:rsidRPr="00A4485D">
        <w:rPr>
          <w:rFonts w:ascii="Times New Roman" w:hAnsi="Times New Roman" w:cs="Times New Roman"/>
          <w:bCs/>
          <w:color w:val="000000" w:themeColor="text1"/>
          <w:sz w:val="28"/>
        </w:rPr>
        <w:t>как совокупность всех активов и пассивов, которыми владеет инвестор, опираясь на выбор стратегии управления инвестиционным портфелем исходя из возможных рисков его формирования, главной целью которого является получения прибыли в будущем;</w:t>
      </w:r>
      <w:r w:rsidR="00C51710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10E76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обоснована алгоритмизация формирования инвестиционного портфеля коммерческого банка, направленная на </w:t>
      </w:r>
      <w:r w:rsidR="005F3008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стратегических задач субъекта экономических отношений</w:t>
      </w:r>
      <w:r w:rsidR="00910E76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; </w:t>
      </w:r>
      <w:r w:rsidR="002D5C67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аргументирована современная парадигма классификации принципов реализации инвестиционной политики коммерческого банка на основе системности и приоритетности, обогащающая методический инструментарий и</w:t>
      </w:r>
      <w:r w:rsidR="0059729C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нвестиционной политики, позволяющая</w:t>
      </w:r>
      <w:r w:rsidR="002D5C67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59729C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банку </w:t>
      </w:r>
      <w:r w:rsidR="002D5C67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принимать более точные стратегические решения с позиции прогнозирования уровня </w:t>
      </w:r>
      <w:r w:rsidR="002D5C67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>риска и инвестиционного потенциала в рамках принятой инвестиционной полит</w:t>
      </w:r>
      <w:r w:rsidR="0059729C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606890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ки в условиях неопределенности.</w:t>
      </w:r>
    </w:p>
    <w:p w14:paraId="0EE9DF35" w14:textId="77777777" w:rsidR="00F803C2" w:rsidRPr="00A4485D" w:rsidRDefault="00B71486" w:rsidP="00A4485D">
      <w:pPr>
        <w:pStyle w:val="a5"/>
        <w:numPr>
          <w:ilvl w:val="0"/>
          <w:numId w:val="9"/>
        </w:numPr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Представлены методические подходы к реализации инвестиционной политики коммерческого банка и формирования инвестиционного портфеля, опираясь на экономическую ситуацию и риски потерь прибыли, в том числе:</w:t>
      </w:r>
      <w:r w:rsidR="00F803C2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60EB8" w:rsidRPr="00A4485D">
        <w:rPr>
          <w:rFonts w:ascii="Times New Roman" w:hAnsi="Times New Roman" w:cs="Times New Roman"/>
          <w:bCs/>
          <w:color w:val="000000" w:themeColor="text1"/>
          <w:sz w:val="28"/>
        </w:rPr>
        <w:t>исследованы основные направления инвестиционной политики в коммерческом банке «Газпромбанк» (АО) включающее стратегические детерминанты отраслевого развития национальной экономической системы;</w:t>
      </w:r>
      <w:r w:rsidR="00F60EB8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E7B49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определены </w:t>
      </w:r>
      <w:r w:rsidR="009E7B49" w:rsidRPr="00A4485D">
        <w:rPr>
          <w:rFonts w:ascii="Times New Roman" w:eastAsia="Times New Roman" w:hAnsi="Times New Roman" w:cs="Times New Roman"/>
          <w:bCs/>
          <w:color w:val="000000" w:themeColor="text1"/>
          <w:sz w:val="28"/>
          <w:shd w:val="clear" w:color="auto" w:fill="FFFFFF"/>
        </w:rPr>
        <w:t>внутренние и внешние факторы, влияющие на реализацию инвестиционной политики коммерческого банка, способствующие для выявления причинно-следственных связей качественных и количественных характеристик эффективного управления инвестиционным портфелем;</w:t>
      </w:r>
      <w:r w:rsidR="009E7B49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803C2" w:rsidRPr="00A4485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предложено</w:t>
      </w:r>
      <w:r w:rsidR="00F803C2" w:rsidRPr="00A44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внедрить метод оперативного отслеживания и выявления количественных и качественных изменений состояния объектов инвестиций и инфраструктурных компаний на оптимально частой основе для оценки и эффективности управления инвестиционным портфелем коммерческого банка.</w:t>
      </w:r>
    </w:p>
    <w:p w14:paraId="3D24BD29" w14:textId="77777777" w:rsidR="00B71486" w:rsidRPr="00A4485D" w:rsidRDefault="00B71486" w:rsidP="00A4485D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Разработана оригинальная методика эффективного управления инвестиционным портфелем коммерческого банка </w:t>
      </w:r>
      <w:r w:rsidR="00F803C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с учетом форм государственно-частного партнерства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, при осуществлении моделирования оценки влияния ESG-рисков и факторов доходности инвестиционного портфеля в рамках реализации инвестиционной политики коммерческого банка.</w:t>
      </w:r>
    </w:p>
    <w:p w14:paraId="45799D9E" w14:textId="77777777" w:rsidR="00B71486" w:rsidRPr="00A4485D" w:rsidRDefault="00B71486" w:rsidP="00B71486">
      <w:pPr>
        <w:pStyle w:val="ab"/>
        <w:spacing w:before="0" w:beforeAutospacing="0" w:after="0" w:afterAutospacing="0" w:line="360" w:lineRule="auto"/>
        <w:ind w:firstLine="360"/>
        <w:jc w:val="both"/>
        <w:rPr>
          <w:bCs/>
          <w:color w:val="000000" w:themeColor="text1"/>
          <w:sz w:val="28"/>
          <w:szCs w:val="28"/>
        </w:rPr>
      </w:pPr>
      <w:r w:rsidRPr="00A4485D">
        <w:rPr>
          <w:bCs/>
          <w:color w:val="000000" w:themeColor="text1"/>
          <w:sz w:val="28"/>
          <w:szCs w:val="28"/>
        </w:rPr>
        <w:t xml:space="preserve">Теоретическая значимость исследования заключается в расширении и дополнении теоретических и методических аспектов инвестиционной политики коммерческого банка и обосновании методического инструментария управления инвестиционной политики банка в условиях структурной перестройки банковского рынка, исходя из обобщения и систематизации содержательного контента процесса. Выводы и положения, обоснованные в выпускной квалификационной работе, позволяют расширить </w:t>
      </w:r>
      <w:r w:rsidRPr="00A4485D">
        <w:rPr>
          <w:bCs/>
          <w:color w:val="000000" w:themeColor="text1"/>
          <w:sz w:val="28"/>
          <w:szCs w:val="28"/>
        </w:rPr>
        <w:lastRenderedPageBreak/>
        <w:t>и углубить научный базис формирования и реализации инвестиционной политики коммерческого банка на рынке инвестиций.</w:t>
      </w:r>
    </w:p>
    <w:p w14:paraId="65A09A6D" w14:textId="77777777" w:rsidR="00B71486" w:rsidRPr="00A4485D" w:rsidRDefault="00B71486" w:rsidP="00B71486">
      <w:pPr>
        <w:pStyle w:val="ab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Практическая значимость работы заключается в возможности использовать полученные результаты научного исследования в целях дальнейшего совершенствования инвестиционной политики коммерческого банка путем повышения эффективности управления инвестиционным портфелем банка и моделированием оценки влияния ESG-рисков и факторов доходности инвестиционного портфеля при реализации инвестиционной политики коммерческого банка.</w:t>
      </w:r>
    </w:p>
    <w:p w14:paraId="5D51343E" w14:textId="05AB2071" w:rsidR="00B71486" w:rsidRPr="00A4485D" w:rsidRDefault="00B71486" w:rsidP="00D601E5">
      <w:pPr>
        <w:pStyle w:val="22"/>
        <w:spacing w:line="360" w:lineRule="auto"/>
        <w:ind w:firstLine="709"/>
        <w:jc w:val="both"/>
        <w:rPr>
          <w:bCs/>
          <w:sz w:val="28"/>
        </w:rPr>
      </w:pPr>
      <w:r w:rsidRPr="00A4485D">
        <w:rPr>
          <w:rFonts w:eastAsiaTheme="minorEastAsia"/>
          <w:bCs/>
          <w:sz w:val="28"/>
        </w:rPr>
        <w:t xml:space="preserve">Апробация и реализация результатов исследования. Основные идеи выпускной квалификационной работы предварительно докладывались и обсуждались на: </w:t>
      </w:r>
      <w:r w:rsidR="00607246" w:rsidRPr="00A4485D">
        <w:rPr>
          <w:rFonts w:eastAsiaTheme="minorEastAsia"/>
          <w:bCs/>
          <w:sz w:val="28"/>
        </w:rPr>
        <w:t xml:space="preserve">Всероссийской научно-практической конференции «Финансы и общество: новые реалии, новые форматы, новые финансовые инструменты» (2022, 2023, Екатеринбург), </w:t>
      </w:r>
      <w:r w:rsidR="00607246" w:rsidRPr="00A4485D">
        <w:rPr>
          <w:rFonts w:eastAsiaTheme="minorEastAsia"/>
          <w:bCs/>
          <w:sz w:val="28"/>
          <w:lang w:val="en-US"/>
        </w:rPr>
        <w:t>XIII</w:t>
      </w:r>
      <w:r w:rsidR="00607246" w:rsidRPr="00A4485D">
        <w:rPr>
          <w:rFonts w:eastAsiaTheme="minorEastAsia"/>
          <w:bCs/>
          <w:sz w:val="28"/>
        </w:rPr>
        <w:t xml:space="preserve"> Евразийском экономическом форуме молодежи «Многополярный мир в фокусе новой действительности» (2023, Екатеринбург), </w:t>
      </w:r>
      <w:r w:rsidR="00607246" w:rsidRPr="00A4485D">
        <w:rPr>
          <w:bCs/>
          <w:sz w:val="28"/>
        </w:rPr>
        <w:t>XIV Евразийском экономическом форум</w:t>
      </w:r>
      <w:r w:rsidR="00D601E5" w:rsidRPr="00A4485D">
        <w:rPr>
          <w:bCs/>
          <w:sz w:val="28"/>
        </w:rPr>
        <w:t>е молодежи «РОССИ</w:t>
      </w:r>
      <w:r w:rsidR="00792DC8" w:rsidRPr="00A4485D">
        <w:rPr>
          <w:bCs/>
          <w:sz w:val="28"/>
        </w:rPr>
        <w:t xml:space="preserve">Я-ЕВРАЗИЯ-МИР: </w:t>
      </w:r>
      <w:r w:rsidR="00607246" w:rsidRPr="00A4485D">
        <w:rPr>
          <w:bCs/>
          <w:sz w:val="28"/>
        </w:rPr>
        <w:t xml:space="preserve">ИНТЕГРАЦИЯ-РАЗВИТИЕ-ПЕРСПЕКТИВА» (2024, Екатеринбург), XIII Международной научно-практической конференции </w:t>
      </w:r>
      <w:r w:rsidR="00A4485D">
        <w:rPr>
          <w:bCs/>
          <w:sz w:val="28"/>
        </w:rPr>
        <w:t>«</w:t>
      </w:r>
      <w:r w:rsidR="00607246" w:rsidRPr="00A4485D">
        <w:rPr>
          <w:bCs/>
          <w:sz w:val="28"/>
        </w:rPr>
        <w:t>Архитектура финансов: трансформация в условиях новой многополярности</w:t>
      </w:r>
      <w:r w:rsidR="00A4485D">
        <w:rPr>
          <w:bCs/>
          <w:sz w:val="28"/>
        </w:rPr>
        <w:t xml:space="preserve">» </w:t>
      </w:r>
      <w:r w:rsidR="00607246" w:rsidRPr="00A4485D">
        <w:rPr>
          <w:bCs/>
          <w:sz w:val="28"/>
        </w:rPr>
        <w:t xml:space="preserve">(2024, Санкт-Петербург), Весенних днях науки Института экономики и управления </w:t>
      </w:r>
      <w:proofErr w:type="spellStart"/>
      <w:r w:rsidR="00607246" w:rsidRPr="00A4485D">
        <w:rPr>
          <w:bCs/>
          <w:sz w:val="28"/>
        </w:rPr>
        <w:t>УрФУ</w:t>
      </w:r>
      <w:proofErr w:type="spellEnd"/>
      <w:r w:rsidR="00607246" w:rsidRPr="00A4485D">
        <w:rPr>
          <w:bCs/>
          <w:sz w:val="28"/>
        </w:rPr>
        <w:t xml:space="preserve"> (2024, Екатеринбург), Всероссийском форуме «Финансовый рынок и экономическое развитие России» (2024, Тюмень). </w:t>
      </w:r>
    </w:p>
    <w:p w14:paraId="0F4E16E7" w14:textId="77777777" w:rsidR="00B71486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Публикации. По результатам теоретических, методических и практических исследований по теме выпускной квалифик</w:t>
      </w:r>
      <w:r w:rsidR="00607246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ационной работы опубликовано 3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работ</w:t>
      </w:r>
      <w:r w:rsidR="00607246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ы</w:t>
      </w:r>
      <w:r w:rsidR="005B1CB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объемом 9,72 п. л. (из них авторских – 7,43 п. л.), в том числе 1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5B1CB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статья в рецензируемом научном журнале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ВАК РФ общ</w:t>
      </w:r>
      <w:r w:rsidR="005B1CB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им объемом авторского текста 4,32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п. л. </w:t>
      </w:r>
    </w:p>
    <w:p w14:paraId="41D1505E" w14:textId="36D4EF22" w:rsidR="00B71486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Структура и объем выпускной квалификационной работы. Структура работы определяется логикой исследования. Работа состоит из введения, трех глав, заключения, библиографического списка и </w:t>
      </w:r>
      <w:r w:rsidR="00F92A83">
        <w:rPr>
          <w:rFonts w:eastAsiaTheme="minorEastAsia"/>
          <w:bCs/>
          <w:color w:val="000000" w:themeColor="text1"/>
          <w:kern w:val="24"/>
          <w:sz w:val="28"/>
          <w:szCs w:val="28"/>
        </w:rPr>
        <w:t>5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приложений, </w:t>
      </w:r>
      <w:r w:rsidR="003042C8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изложенных на </w:t>
      </w:r>
      <w:r w:rsidR="00F92A83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88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страницах машинописного текста. Цифровой и графич</w:t>
      </w:r>
      <w:r w:rsidR="005B225B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еский материал представлен в</w:t>
      </w:r>
      <w:r w:rsidR="003042C8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6</w:t>
      </w:r>
      <w:r w:rsidR="005B225B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таблицах и 11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рисунках</w:t>
      </w:r>
      <w:r w:rsidR="003042C8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. Библиографический список содержит 64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наименований.</w:t>
      </w:r>
    </w:p>
    <w:p w14:paraId="160505AF" w14:textId="77777777" w:rsidR="00B71486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Во </w:t>
      </w:r>
      <w:r w:rsidRPr="00A4485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введении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обоснована актуальность темы исследования, определены цель и задачи, выделены объект и предмет исследования, рассмотрена методологическая и информационная база, раскрыты научная новизна и практическая значимость работы, приведена апробация результатов исследования.</w:t>
      </w:r>
    </w:p>
    <w:p w14:paraId="59B7D4C1" w14:textId="77777777" w:rsidR="00B71486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</w:t>
      </w:r>
      <w:r w:rsidRPr="00A4485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первой главе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</w:t>
      </w:r>
      <w:r w:rsidR="005B1CB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Теоретико-методические аспекты формирования инвестиционной политики коммерческого банка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» </w:t>
      </w:r>
      <w:r w:rsidR="005B1CB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исследуются теоретические и научные положения инвестиционного портфеля коммерческого банка, концептуально проводиться контент-анализ инвестиционной политики коммерческого банка и методов ее управления, обосновывается </w:t>
      </w:r>
      <w:r w:rsidR="005B1CB2" w:rsidRPr="00A4485D">
        <w:rPr>
          <w:bCs/>
          <w:color w:val="000000" w:themeColor="text1"/>
          <w:sz w:val="28"/>
          <w:szCs w:val="28"/>
        </w:rPr>
        <w:t>методическая интерпретация показателей доходности и рисков в инвестиционной деятельности коммерческих банков.</w:t>
      </w:r>
    </w:p>
    <w:p w14:paraId="7C69C335" w14:textId="77777777" w:rsidR="00B71486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Во </w:t>
      </w:r>
      <w:r w:rsidRPr="00A4485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второй главе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</w:t>
      </w:r>
      <w:r w:rsidR="005B1CB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Методические подходы к реализации инвестиционной политики коммерческого банка и формирования инвестиционного портфеля (на примере АО «Газпромбанк»)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  <w:r w:rsidR="005B1CB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B6732C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дается сегментированная характеристика коммерческого банка и его основные направления инвестиционной политики,  </w:t>
      </w:r>
      <w:r w:rsidR="005B1CB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проводится эмпирический анализ инвестиционной деятельности коммерческого банка на основе факторных показателей</w:t>
      </w:r>
      <w:r w:rsidR="00B6732C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, предлагаются методические рекомендации по оценке качества и эффективности управления инвестиционным портфелем в коммерческом банке.</w:t>
      </w:r>
    </w:p>
    <w:p w14:paraId="0072B2F5" w14:textId="77777777" w:rsidR="00B71486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</w:t>
      </w:r>
      <w:r w:rsidRPr="00A4485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третьей главе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работы «</w:t>
      </w:r>
      <w:r w:rsidR="00F803C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Повышение</w:t>
      </w:r>
      <w:r w:rsidR="00B6732C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эффективности управления инвестиционным портфелем коммерческого банка в рамках реализации его инвестиционной политики</w:t>
      </w:r>
      <w:r w:rsidR="00F803C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 учетом форм государственно-частного партнерства</w:t>
      </w:r>
      <w:r w:rsidR="00B6732C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B6732C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предложена методика эффективного управления инвестиционным портфелем коммерческого банка </w:t>
      </w:r>
      <w:r w:rsidR="00F803C2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с учетом форм государственно-частного партнёрства</w:t>
      </w:r>
      <w:r w:rsidR="00B6732C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проведено моделирование оценки влияния ESG-рисков и факторов доходности инвестиционного портфеля при </w:t>
      </w:r>
      <w:r w:rsidR="00B6732C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реализации инвестиционной политики коммерческого банка и представлены результаты внедрения методических рекомендаций по эффективному управлению инвестиционного портфеля коммерческого банка.</w:t>
      </w:r>
    </w:p>
    <w:p w14:paraId="4B48074B" w14:textId="77777777" w:rsidR="00B6732C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</w:t>
      </w:r>
      <w:r w:rsidRPr="00A4485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заключении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выпускной квалификационной работы подводятся итоги проведенного исследования; делаются основные выводы и обобщаются предложения по </w:t>
      </w:r>
      <w:r w:rsidR="00B6732C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совершенствованию инвестиционной политики коммерческого банка путем повышения эффективности управления инвестиционным портфелем банка.</w:t>
      </w:r>
    </w:p>
    <w:p w14:paraId="254C9B1F" w14:textId="77777777" w:rsidR="00B71486" w:rsidRPr="00A4485D" w:rsidRDefault="00B71486" w:rsidP="00B71486">
      <w:pPr>
        <w:pStyle w:val="a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</w:t>
      </w:r>
      <w:r w:rsidRPr="00A4485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приложениях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представлены вспомогательные аналитические материалы, иллюстрирующие отдельные положения </w:t>
      </w:r>
      <w:r w:rsidR="00B6732C"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выпускной квалификационной работы</w:t>
      </w:r>
      <w:r w:rsidRPr="00A4485D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14:paraId="06E7AF29" w14:textId="77777777" w:rsidR="00B71486" w:rsidRPr="006F41A6" w:rsidRDefault="00B71486" w:rsidP="009C1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376288" w14:textId="77777777" w:rsidR="00466495" w:rsidRDefault="00466495" w:rsidP="0085023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br w:type="page"/>
      </w:r>
    </w:p>
    <w:p w14:paraId="44CBBC72" w14:textId="77777777" w:rsidR="00E63CBC" w:rsidRPr="00D601E5" w:rsidRDefault="00C97B93" w:rsidP="00BE793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601E5">
        <w:rPr>
          <w:rFonts w:ascii="Times New Roman" w:hAnsi="Times New Roman" w:cs="Times New Roman"/>
          <w:color w:val="000000" w:themeColor="text1"/>
          <w:sz w:val="28"/>
        </w:rPr>
        <w:lastRenderedPageBreak/>
        <w:t>1</w:t>
      </w:r>
      <w:r w:rsidR="005B1CB2" w:rsidRPr="00D601E5">
        <w:rPr>
          <w:rFonts w:ascii="Times New Roman" w:hAnsi="Times New Roman" w:cs="Times New Roman"/>
          <w:color w:val="000000" w:themeColor="text1"/>
          <w:sz w:val="28"/>
        </w:rPr>
        <w:t xml:space="preserve"> ТЕОРЕТИКО-МЕТОДИЧЕСКИЕ</w:t>
      </w:r>
      <w:r w:rsidR="00466495" w:rsidRPr="00D601E5">
        <w:rPr>
          <w:rFonts w:ascii="Times New Roman" w:hAnsi="Times New Roman" w:cs="Times New Roman"/>
          <w:color w:val="000000" w:themeColor="text1"/>
          <w:sz w:val="28"/>
        </w:rPr>
        <w:t xml:space="preserve"> АСПЕКТЫ ФОРМИРОВАНИЯ ИНВЕСТИЦИОННОЙ ПОЛИТИКИ БАНКА</w:t>
      </w:r>
    </w:p>
    <w:p w14:paraId="57092E5E" w14:textId="77777777" w:rsidR="00CC0A01" w:rsidRDefault="00CC0A01" w:rsidP="00CC0A0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3F87D75" w14:textId="77777777" w:rsidR="00A4485D" w:rsidRPr="00466495" w:rsidRDefault="00A4485D" w:rsidP="00CC0A0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6449FFF" w14:textId="77777777" w:rsidR="00466495" w:rsidRPr="00466495" w:rsidRDefault="00466495" w:rsidP="00BE79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66495">
        <w:rPr>
          <w:rFonts w:ascii="Times New Roman" w:hAnsi="Times New Roman" w:cs="Times New Roman"/>
          <w:sz w:val="28"/>
        </w:rPr>
        <w:t>1.1 КОЛЛАБОРАЦИЯ НАУЧНОЙ ФИЛЬТРАЦИИ ИНВЕСТИЦИОННОГО ПОРТФЕЛЯ КОММЕРЧЕСКОГО БАНКА</w:t>
      </w:r>
    </w:p>
    <w:p w14:paraId="61BAB6ED" w14:textId="77777777" w:rsidR="00466495" w:rsidRDefault="00466495" w:rsidP="00CC0A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AB71BCC" w14:textId="77777777" w:rsidR="00A4485D" w:rsidRDefault="00A4485D" w:rsidP="00CC0A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3089244" w14:textId="77777777" w:rsidR="00EE2B28" w:rsidRPr="00EF3DE2" w:rsidRDefault="00DA2F41" w:rsidP="00EF3D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3DE2">
        <w:rPr>
          <w:rFonts w:ascii="Times New Roman" w:hAnsi="Times New Roman" w:cs="Times New Roman"/>
          <w:sz w:val="28"/>
        </w:rPr>
        <w:t>Стратегии формирования инвестиционного портфеля интересуют широкий круг участников финансового рынка и не только желающих ими стать, что обусловлено потенциальными возможностями увеличения капитала в нынешних условиях рынка, который изобилует множеством самых разных финансовых инструментов. Виды стратегий существуют самые разные – от простых спекуляций до биржевых роботов и искусственного интеллекта, что делает финансовый рынок привлекательным для все большего числа начинающих инвесторов и людей, ищущих альтернативные способы заработка.</w:t>
      </w:r>
    </w:p>
    <w:p w14:paraId="0AE01153" w14:textId="77777777" w:rsidR="00DA2F41" w:rsidRPr="00EF3DE2" w:rsidRDefault="00DA2F41" w:rsidP="00EF3D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3DE2">
        <w:rPr>
          <w:rFonts w:ascii="Times New Roman" w:hAnsi="Times New Roman" w:cs="Times New Roman"/>
          <w:sz w:val="28"/>
        </w:rPr>
        <w:t>Инвестиционный портфель – это совокупность ценных бумаг (разного вида, разного срока действия и разной степени ликвидности) и других активов, собранных вместе и управляемые как единое целое. Составляющими портфеля могут быть разные активы, от драгоценных металлов и недвижимости до акций и долей в стартапах. Состав и структуру портфеля можно варьировать, следуя за изменениями на финансовом рынке. Портфельное инвестирование относят к пассивным финансовым инструментам, однако оно так же, как и прямое, требует контроля. Отслеживанием конъюнктуры рынка и доходностью акций может</w:t>
      </w:r>
      <w:r w:rsidR="00EF3DE2">
        <w:rPr>
          <w:rFonts w:ascii="Times New Roman" w:hAnsi="Times New Roman" w:cs="Times New Roman"/>
          <w:sz w:val="28"/>
        </w:rPr>
        <w:t xml:space="preserve"> </w:t>
      </w:r>
      <w:r w:rsidRPr="00EF3DE2">
        <w:rPr>
          <w:rFonts w:ascii="Times New Roman" w:hAnsi="Times New Roman" w:cs="Times New Roman"/>
          <w:sz w:val="28"/>
        </w:rPr>
        <w:t>заниматься как собственник, так и доверительный управляющий.</w:t>
      </w:r>
    </w:p>
    <w:p w14:paraId="51054FBA" w14:textId="77777777" w:rsidR="00DA2F41" w:rsidRPr="00EF294B" w:rsidRDefault="00DA2F41" w:rsidP="00EF3D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F3DE2">
        <w:rPr>
          <w:rFonts w:ascii="Times New Roman" w:hAnsi="Times New Roman" w:cs="Times New Roman"/>
          <w:sz w:val="28"/>
        </w:rPr>
        <w:t xml:space="preserve">Новый подход к диверсификации портфеля был предложен Г. </w:t>
      </w:r>
      <w:proofErr w:type="spellStart"/>
      <w:r w:rsidRPr="00EF3DE2">
        <w:rPr>
          <w:rFonts w:ascii="Times New Roman" w:hAnsi="Times New Roman" w:cs="Times New Roman"/>
          <w:sz w:val="28"/>
        </w:rPr>
        <w:t>Марковицем</w:t>
      </w:r>
      <w:proofErr w:type="spellEnd"/>
      <w:r w:rsidRPr="00EF3DE2">
        <w:rPr>
          <w:rFonts w:ascii="Times New Roman" w:hAnsi="Times New Roman" w:cs="Times New Roman"/>
          <w:sz w:val="28"/>
        </w:rPr>
        <w:t xml:space="preserve">, основателем современной теории портфеля. По мнению </w:t>
      </w:r>
      <w:proofErr w:type="spellStart"/>
      <w:r w:rsidRPr="00EF3DE2">
        <w:rPr>
          <w:rFonts w:ascii="Times New Roman" w:hAnsi="Times New Roman" w:cs="Times New Roman"/>
          <w:sz w:val="28"/>
        </w:rPr>
        <w:t>Марковица</w:t>
      </w:r>
      <w:proofErr w:type="spellEnd"/>
      <w:r w:rsidRPr="00EF3DE2">
        <w:rPr>
          <w:rFonts w:ascii="Times New Roman" w:hAnsi="Times New Roman" w:cs="Times New Roman"/>
          <w:sz w:val="28"/>
        </w:rPr>
        <w:t xml:space="preserve">, инвестор должен принимать решение по выбору портфеля исходя </w:t>
      </w:r>
      <w:r w:rsidRPr="00EF3DE2">
        <w:rPr>
          <w:rFonts w:ascii="Times New Roman" w:hAnsi="Times New Roman" w:cs="Times New Roman"/>
          <w:sz w:val="28"/>
        </w:rPr>
        <w:lastRenderedPageBreak/>
        <w:t>исключительно из показателей ожидаемой доходности и стандартного отклонения доходности. Это означает, что инвестор выбирает лучший портфель, основываясь на</w:t>
      </w:r>
      <w:r w:rsidR="00AC6049">
        <w:rPr>
          <w:rFonts w:ascii="Times New Roman" w:hAnsi="Times New Roman" w:cs="Times New Roman"/>
          <w:sz w:val="28"/>
        </w:rPr>
        <w:t xml:space="preserve"> соотношении обоих параметров, п</w:t>
      </w:r>
      <w:r w:rsidRPr="00EF3DE2">
        <w:rPr>
          <w:rFonts w:ascii="Times New Roman" w:hAnsi="Times New Roman" w:cs="Times New Roman"/>
          <w:sz w:val="28"/>
        </w:rPr>
        <w:t>ри этом интуиция играет определяющую роль. Ожидаемая доходность может быть представлена как мера потенциального вознаграждения, связанная с конкретным портфелем, а стандартное отклонение – как мера риска данного портфеля. Таким образом, после того как каждый портфель был исследован в смысле потенциального вознаграждения и риска, инвестор должен выбрать наиболее подходящий для него портфель [</w:t>
      </w:r>
      <w:r w:rsidR="00CE24FC">
        <w:rPr>
          <w:rFonts w:ascii="Times New Roman" w:hAnsi="Times New Roman" w:cs="Times New Roman"/>
          <w:sz w:val="28"/>
        </w:rPr>
        <w:t>21</w:t>
      </w:r>
      <w:r w:rsidRPr="00EF3DE2">
        <w:rPr>
          <w:rFonts w:ascii="Times New Roman" w:hAnsi="Times New Roman" w:cs="Times New Roman"/>
          <w:sz w:val="28"/>
        </w:rPr>
        <w:t>].</w:t>
      </w:r>
      <w:r w:rsidR="00AC6049">
        <w:rPr>
          <w:rFonts w:ascii="Times New Roman" w:hAnsi="Times New Roman" w:cs="Times New Roman"/>
          <w:sz w:val="28"/>
        </w:rPr>
        <w:t xml:space="preserve"> </w:t>
      </w:r>
      <w:r w:rsidR="00AC6049" w:rsidRPr="00EF294B">
        <w:rPr>
          <w:rFonts w:ascii="Times New Roman" w:hAnsi="Times New Roman" w:cs="Times New Roman"/>
          <w:color w:val="000000" w:themeColor="text1"/>
          <w:sz w:val="28"/>
        </w:rPr>
        <w:t>В таблице 1 автором представлена матрица формирования инвестиционного портфеля с позиций</w:t>
      </w:r>
      <w:r w:rsidR="005F3008" w:rsidRPr="00EF294B">
        <w:rPr>
          <w:rFonts w:ascii="Times New Roman" w:hAnsi="Times New Roman" w:cs="Times New Roman"/>
          <w:color w:val="000000" w:themeColor="text1"/>
          <w:sz w:val="28"/>
        </w:rPr>
        <w:t xml:space="preserve"> доходности, риска и периода инвестирования, позволяющая </w:t>
      </w:r>
      <w:r w:rsidR="005F3008" w:rsidRPr="00EF29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выбрать наиболее оптимальный портфель в соответствии с заданной стратегией собственника бизнеса.</w:t>
      </w:r>
    </w:p>
    <w:p w14:paraId="53D083B6" w14:textId="77777777" w:rsidR="007D5D88" w:rsidRPr="00EF3DE2" w:rsidRDefault="007D5D88" w:rsidP="00EF3D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59C19A" w14:textId="77777777" w:rsidR="00EF3DE2" w:rsidRPr="00EF3DE2" w:rsidRDefault="00B6732C" w:rsidP="00C661E6">
      <w:pPr>
        <w:suppressAutoHyphens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 </w:t>
      </w:r>
      <w:r w:rsidRPr="00D601E5">
        <w:rPr>
          <w:rFonts w:ascii="Times New Roman" w:hAnsi="Times New Roman" w:cs="Times New Roman"/>
          <w:color w:val="000000" w:themeColor="text1"/>
          <w:sz w:val="28"/>
        </w:rPr>
        <w:t>–</w:t>
      </w:r>
      <w:r w:rsidR="00EF3DE2" w:rsidRPr="00D601E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601E5">
        <w:rPr>
          <w:rFonts w:ascii="Times New Roman" w:hAnsi="Times New Roman" w:cs="Times New Roman"/>
          <w:color w:val="000000" w:themeColor="text1"/>
          <w:sz w:val="28"/>
        </w:rPr>
        <w:t xml:space="preserve">Матрица </w:t>
      </w:r>
      <w:r>
        <w:rPr>
          <w:rFonts w:ascii="Times New Roman" w:hAnsi="Times New Roman" w:cs="Times New Roman"/>
          <w:sz w:val="28"/>
        </w:rPr>
        <w:t>ф</w:t>
      </w:r>
      <w:r w:rsidR="00EF3DE2" w:rsidRPr="00EF3DE2">
        <w:rPr>
          <w:rFonts w:ascii="Times New Roman" w:hAnsi="Times New Roman" w:cs="Times New Roman"/>
          <w:sz w:val="28"/>
        </w:rPr>
        <w:t>ормирование инвестиционного портфеля по соотношению доходности и риска</w:t>
      </w:r>
      <w:r w:rsidR="00C51710">
        <w:rPr>
          <w:rStyle w:val="ae"/>
          <w:rFonts w:ascii="Times New Roman" w:hAnsi="Times New Roman" w:cs="Times New Roman"/>
          <w:sz w:val="28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834"/>
        <w:gridCol w:w="3396"/>
      </w:tblGrid>
      <w:tr w:rsidR="00EF3DE2" w:rsidRPr="00EF3DE2" w14:paraId="1631D0B7" w14:textId="77777777" w:rsidTr="00AE6760">
        <w:tc>
          <w:tcPr>
            <w:tcW w:w="9345" w:type="dxa"/>
            <w:gridSpan w:val="3"/>
          </w:tcPr>
          <w:p w14:paraId="6B64D44F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Характеристики портфеля</w:t>
            </w:r>
          </w:p>
        </w:tc>
      </w:tr>
      <w:tr w:rsidR="00EF3DE2" w:rsidRPr="00EF3DE2" w14:paraId="39A47B21" w14:textId="77777777" w:rsidTr="00C661E6">
        <w:tc>
          <w:tcPr>
            <w:tcW w:w="3115" w:type="dxa"/>
          </w:tcPr>
          <w:p w14:paraId="1020BEA5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Характер и уровень доходности</w:t>
            </w:r>
          </w:p>
        </w:tc>
        <w:tc>
          <w:tcPr>
            <w:tcW w:w="2834" w:type="dxa"/>
          </w:tcPr>
          <w:p w14:paraId="533E8254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Уровень риска</w:t>
            </w:r>
          </w:p>
        </w:tc>
        <w:tc>
          <w:tcPr>
            <w:tcW w:w="3396" w:type="dxa"/>
          </w:tcPr>
          <w:p w14:paraId="201AA7CF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Период инвестирования</w:t>
            </w:r>
          </w:p>
        </w:tc>
      </w:tr>
      <w:tr w:rsidR="00EF3DE2" w:rsidRPr="00EF3DE2" w14:paraId="726B9C6E" w14:textId="77777777" w:rsidTr="00C661E6">
        <w:tc>
          <w:tcPr>
            <w:tcW w:w="3115" w:type="dxa"/>
          </w:tcPr>
          <w:p w14:paraId="76146D0A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Гарантированный, низкий</w:t>
            </w:r>
          </w:p>
        </w:tc>
        <w:tc>
          <w:tcPr>
            <w:tcW w:w="2834" w:type="dxa"/>
          </w:tcPr>
          <w:p w14:paraId="08A8007D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Низкий</w:t>
            </w:r>
          </w:p>
        </w:tc>
        <w:tc>
          <w:tcPr>
            <w:tcW w:w="3396" w:type="dxa"/>
          </w:tcPr>
          <w:p w14:paraId="30276572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Длительный</w:t>
            </w:r>
          </w:p>
        </w:tc>
      </w:tr>
      <w:tr w:rsidR="00EF3DE2" w:rsidRPr="00EF3DE2" w14:paraId="3487CCD6" w14:textId="77777777" w:rsidTr="00C661E6">
        <w:tc>
          <w:tcPr>
            <w:tcW w:w="3115" w:type="dxa"/>
          </w:tcPr>
          <w:p w14:paraId="255D15E2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Устойчивый, средний</w:t>
            </w:r>
          </w:p>
        </w:tc>
        <w:tc>
          <w:tcPr>
            <w:tcW w:w="2834" w:type="dxa"/>
          </w:tcPr>
          <w:p w14:paraId="7F1D448E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Средний</w:t>
            </w:r>
          </w:p>
        </w:tc>
        <w:tc>
          <w:tcPr>
            <w:tcW w:w="3396" w:type="dxa"/>
          </w:tcPr>
          <w:p w14:paraId="20DC0A67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Не ограничен</w:t>
            </w:r>
          </w:p>
        </w:tc>
      </w:tr>
      <w:tr w:rsidR="00EF3DE2" w:rsidRPr="00EF3DE2" w14:paraId="691D5DC4" w14:textId="77777777" w:rsidTr="00C661E6">
        <w:tc>
          <w:tcPr>
            <w:tcW w:w="3115" w:type="dxa"/>
          </w:tcPr>
          <w:p w14:paraId="58CA0927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Спекулятивный, высокий</w:t>
            </w:r>
          </w:p>
        </w:tc>
        <w:tc>
          <w:tcPr>
            <w:tcW w:w="2834" w:type="dxa"/>
          </w:tcPr>
          <w:p w14:paraId="59CE0E15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Высокий</w:t>
            </w:r>
          </w:p>
        </w:tc>
        <w:tc>
          <w:tcPr>
            <w:tcW w:w="3396" w:type="dxa"/>
          </w:tcPr>
          <w:p w14:paraId="50FF3191" w14:textId="77777777" w:rsidR="00EF3DE2" w:rsidRPr="00EF3DE2" w:rsidRDefault="00EF3DE2" w:rsidP="00A4485D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F3DE2">
              <w:rPr>
                <w:rFonts w:ascii="Times New Roman" w:hAnsi="Times New Roman" w:cs="Times New Roman"/>
                <w:sz w:val="28"/>
              </w:rPr>
              <w:t>Ограничен длительностью инвестиционной операции</w:t>
            </w:r>
          </w:p>
        </w:tc>
      </w:tr>
      <w:tr w:rsidR="00C51710" w:rsidRPr="00C51710" w14:paraId="4AA2F703" w14:textId="77777777" w:rsidTr="00C661E6">
        <w:tc>
          <w:tcPr>
            <w:tcW w:w="3115" w:type="dxa"/>
          </w:tcPr>
          <w:p w14:paraId="26A31D18" w14:textId="77777777" w:rsidR="00C51710" w:rsidRPr="00782596" w:rsidRDefault="00782596" w:rsidP="00A4485D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Комбинированный, сбалансированный</w:t>
            </w:r>
          </w:p>
        </w:tc>
        <w:tc>
          <w:tcPr>
            <w:tcW w:w="2834" w:type="dxa"/>
          </w:tcPr>
          <w:p w14:paraId="5A9FE2FB" w14:textId="77777777" w:rsidR="00C51710" w:rsidRPr="00782596" w:rsidRDefault="00782596" w:rsidP="00A4485D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Средний</w:t>
            </w:r>
          </w:p>
        </w:tc>
        <w:tc>
          <w:tcPr>
            <w:tcW w:w="3396" w:type="dxa"/>
          </w:tcPr>
          <w:p w14:paraId="42D3990A" w14:textId="77777777" w:rsidR="00C51710" w:rsidRPr="00782596" w:rsidRDefault="00782596" w:rsidP="00A4485D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Не ограничен</w:t>
            </w:r>
          </w:p>
        </w:tc>
      </w:tr>
    </w:tbl>
    <w:p w14:paraId="68EB1AE2" w14:textId="77777777" w:rsidR="00782596" w:rsidRDefault="00782596" w:rsidP="00EF3D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782596" w:rsidSect="00466495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930F" w14:textId="77777777" w:rsidR="00750A68" w:rsidRDefault="00750A68" w:rsidP="00466495">
      <w:pPr>
        <w:spacing w:after="0" w:line="240" w:lineRule="auto"/>
      </w:pPr>
      <w:r>
        <w:separator/>
      </w:r>
    </w:p>
  </w:endnote>
  <w:endnote w:type="continuationSeparator" w:id="0">
    <w:p w14:paraId="6ED8C7E8" w14:textId="77777777" w:rsidR="00750A68" w:rsidRDefault="00750A68" w:rsidP="0046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162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 w:hint="cs"/>
        <w:sz w:val="24"/>
        <w:szCs w:val="24"/>
      </w:rPr>
    </w:sdtEndPr>
    <w:sdtContent>
      <w:p w14:paraId="62EFC763" w14:textId="1430569C" w:rsidR="002A3326" w:rsidRPr="00A4485D" w:rsidRDefault="002A332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485D">
          <w:rPr>
            <w:rFonts w:ascii="Times New Roman" w:hAnsi="Times New Roman" w:cs="Times New Roman" w:hint="cs"/>
            <w:sz w:val="24"/>
            <w:szCs w:val="24"/>
          </w:rPr>
          <w:fldChar w:fldCharType="begin"/>
        </w:r>
        <w:r w:rsidRPr="00A4485D">
          <w:rPr>
            <w:rFonts w:ascii="Times New Roman" w:hAnsi="Times New Roman" w:cs="Times New Roman" w:hint="cs"/>
            <w:sz w:val="24"/>
            <w:szCs w:val="24"/>
          </w:rPr>
          <w:instrText>PAGE   \* MERGEFORMAT</w:instrText>
        </w:r>
        <w:r w:rsidRPr="00A4485D">
          <w:rPr>
            <w:rFonts w:ascii="Times New Roman" w:hAnsi="Times New Roman" w:cs="Times New Roman" w:hint="cs"/>
            <w:sz w:val="24"/>
            <w:szCs w:val="24"/>
          </w:rPr>
          <w:fldChar w:fldCharType="separate"/>
        </w:r>
        <w:r w:rsidR="0091659E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A4485D">
          <w:rPr>
            <w:rFonts w:ascii="Times New Roman" w:hAnsi="Times New Roman" w:cs="Times New Roman" w:hint="cs"/>
            <w:sz w:val="24"/>
            <w:szCs w:val="24"/>
          </w:rPr>
          <w:fldChar w:fldCharType="end"/>
        </w:r>
      </w:p>
    </w:sdtContent>
  </w:sdt>
  <w:p w14:paraId="23C11E66" w14:textId="77777777" w:rsidR="002A3326" w:rsidRDefault="002A33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7BCD" w14:textId="77777777" w:rsidR="00750A68" w:rsidRDefault="00750A68" w:rsidP="00466495">
      <w:pPr>
        <w:spacing w:after="0" w:line="240" w:lineRule="auto"/>
      </w:pPr>
      <w:r>
        <w:separator/>
      </w:r>
    </w:p>
  </w:footnote>
  <w:footnote w:type="continuationSeparator" w:id="0">
    <w:p w14:paraId="6326AA1C" w14:textId="77777777" w:rsidR="00750A68" w:rsidRDefault="00750A68" w:rsidP="00466495">
      <w:pPr>
        <w:spacing w:after="0" w:line="240" w:lineRule="auto"/>
      </w:pPr>
      <w:r>
        <w:continuationSeparator/>
      </w:r>
    </w:p>
  </w:footnote>
  <w:footnote w:id="1">
    <w:p w14:paraId="4B45E1F0" w14:textId="77777777" w:rsidR="002A3326" w:rsidRPr="00D601E5" w:rsidRDefault="002A3326" w:rsidP="00C51710">
      <w:pPr>
        <w:pStyle w:val="ac"/>
        <w:jc w:val="both"/>
        <w:rPr>
          <w:rFonts w:ascii="Times New Roman" w:hAnsi="Times New Roman" w:cs="Times New Roman"/>
          <w:color w:val="000000" w:themeColor="text1"/>
        </w:rPr>
      </w:pPr>
      <w:r w:rsidRPr="00D601E5">
        <w:rPr>
          <w:rStyle w:val="ae"/>
          <w:rFonts w:ascii="Times New Roman" w:hAnsi="Times New Roman" w:cs="Times New Roman"/>
          <w:color w:val="000000" w:themeColor="text1"/>
        </w:rPr>
        <w:footnoteRef/>
      </w:r>
      <w:r w:rsidRPr="00D601E5">
        <w:rPr>
          <w:rFonts w:ascii="Times New Roman" w:hAnsi="Times New Roman" w:cs="Times New Roman"/>
          <w:color w:val="000000" w:themeColor="text1"/>
        </w:rPr>
        <w:t xml:space="preserve"> Автор исследовал научные положения по формированию инвестиционного портфеля с позиций доходности и риска на основе финансовых исследований, ведущих ученых и экономистов в данной области и предложил дополнить данный процесс матрицей по</w:t>
      </w:r>
      <w:r>
        <w:rPr>
          <w:rFonts w:ascii="Times New Roman" w:hAnsi="Times New Roman" w:cs="Times New Roman"/>
          <w:color w:val="000000" w:themeColor="text1"/>
        </w:rPr>
        <w:t>казателей, которые учитывают характер портфеля, его уровень доходности и риска, а также в зависимости от характера портфеля, период инвестирования</w:t>
      </w:r>
      <w:r w:rsidRPr="00D601E5">
        <w:rPr>
          <w:rFonts w:ascii="Times New Roman" w:hAnsi="Times New Roman" w:cs="Times New Roman"/>
          <w:color w:val="000000" w:themeColor="text1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77" style="width:2.45pt;height:1.2pt" coordsize="" o:spt="100" o:bullet="t" adj="0,,0" path="" stroked="f">
        <v:stroke joinstyle="miter"/>
        <v:imagedata r:id="rId1" o:title="image45"/>
        <v:formulas/>
        <v:path o:connecttype="segments"/>
      </v:shape>
    </w:pict>
  </w:numPicBullet>
  <w:abstractNum w:abstractNumId="0" w15:restartNumberingAfterBreak="0">
    <w:nsid w:val="084610E9"/>
    <w:multiLevelType w:val="hybridMultilevel"/>
    <w:tmpl w:val="BBD09A16"/>
    <w:name w:val="Нумерованный список 13"/>
    <w:lvl w:ilvl="0" w:tplc="B100E9C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F26AF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2CB1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4686AD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7CFC5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A7272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EDCD5C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9ECC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720F5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149635C"/>
    <w:multiLevelType w:val="hybridMultilevel"/>
    <w:tmpl w:val="062E714C"/>
    <w:name w:val="Нумерованный список 19"/>
    <w:lvl w:ilvl="0" w:tplc="CF90771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25826E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FDCAFE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4949D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94589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F526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2833D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C6276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5B2E5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06621FB"/>
    <w:multiLevelType w:val="multilevel"/>
    <w:tmpl w:val="91F26EF0"/>
    <w:lvl w:ilvl="0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252D5B"/>
    <w:multiLevelType w:val="multilevel"/>
    <w:tmpl w:val="86306C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715AFE"/>
    <w:multiLevelType w:val="hybridMultilevel"/>
    <w:tmpl w:val="D9EA8108"/>
    <w:lvl w:ilvl="0" w:tplc="7E54F75E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0244AE"/>
    <w:multiLevelType w:val="hybridMultilevel"/>
    <w:tmpl w:val="0890CB70"/>
    <w:lvl w:ilvl="0" w:tplc="990E1DE4"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9B1AB3"/>
    <w:multiLevelType w:val="hybridMultilevel"/>
    <w:tmpl w:val="D8327A0E"/>
    <w:lvl w:ilvl="0" w:tplc="9F16BF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E4E90"/>
    <w:multiLevelType w:val="hybridMultilevel"/>
    <w:tmpl w:val="69BE05A0"/>
    <w:name w:val="Нумерованный список 28"/>
    <w:lvl w:ilvl="0" w:tplc="068A527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1A29F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D3000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33EC61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CF8EE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360E90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FFCCE6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47E3D8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8A4CA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756045F5"/>
    <w:multiLevelType w:val="hybridMultilevel"/>
    <w:tmpl w:val="1E062982"/>
    <w:name w:val="Нумерованный список 32"/>
    <w:lvl w:ilvl="0" w:tplc="C4BE53F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B9EC9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A7AC2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2005B3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06881A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AF001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716A5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B32DDA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9B449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766D15C0"/>
    <w:multiLevelType w:val="hybridMultilevel"/>
    <w:tmpl w:val="14B6F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29"/>
    <w:rsid w:val="0000051A"/>
    <w:rsid w:val="0001755D"/>
    <w:rsid w:val="00036A12"/>
    <w:rsid w:val="00041B46"/>
    <w:rsid w:val="00044419"/>
    <w:rsid w:val="0005273E"/>
    <w:rsid w:val="000656F9"/>
    <w:rsid w:val="00094295"/>
    <w:rsid w:val="00094891"/>
    <w:rsid w:val="00094BC6"/>
    <w:rsid w:val="000A2A1F"/>
    <w:rsid w:val="000A61AB"/>
    <w:rsid w:val="000C08A4"/>
    <w:rsid w:val="000F0AFD"/>
    <w:rsid w:val="00102321"/>
    <w:rsid w:val="00112DBA"/>
    <w:rsid w:val="001173FE"/>
    <w:rsid w:val="001323F0"/>
    <w:rsid w:val="001443AD"/>
    <w:rsid w:val="0016282A"/>
    <w:rsid w:val="00175356"/>
    <w:rsid w:val="00177073"/>
    <w:rsid w:val="0019160A"/>
    <w:rsid w:val="001D2E62"/>
    <w:rsid w:val="001F6333"/>
    <w:rsid w:val="002072AC"/>
    <w:rsid w:val="00240916"/>
    <w:rsid w:val="00261655"/>
    <w:rsid w:val="00277C01"/>
    <w:rsid w:val="00296982"/>
    <w:rsid w:val="00296FA9"/>
    <w:rsid w:val="002A3326"/>
    <w:rsid w:val="002A7CAB"/>
    <w:rsid w:val="002C7772"/>
    <w:rsid w:val="002D5C67"/>
    <w:rsid w:val="002D7106"/>
    <w:rsid w:val="002E3C2D"/>
    <w:rsid w:val="002F4B58"/>
    <w:rsid w:val="003006C8"/>
    <w:rsid w:val="003042C8"/>
    <w:rsid w:val="003139D3"/>
    <w:rsid w:val="003157F7"/>
    <w:rsid w:val="00352807"/>
    <w:rsid w:val="003A6181"/>
    <w:rsid w:val="003B3484"/>
    <w:rsid w:val="003C2E08"/>
    <w:rsid w:val="003C7E08"/>
    <w:rsid w:val="003D15BB"/>
    <w:rsid w:val="003D6AF2"/>
    <w:rsid w:val="003E3843"/>
    <w:rsid w:val="00401459"/>
    <w:rsid w:val="004019AC"/>
    <w:rsid w:val="004073CD"/>
    <w:rsid w:val="00423EA3"/>
    <w:rsid w:val="00441BF4"/>
    <w:rsid w:val="00450F08"/>
    <w:rsid w:val="0045675C"/>
    <w:rsid w:val="00460ADE"/>
    <w:rsid w:val="00463D34"/>
    <w:rsid w:val="00466495"/>
    <w:rsid w:val="00466DD2"/>
    <w:rsid w:val="004751D1"/>
    <w:rsid w:val="00476F17"/>
    <w:rsid w:val="00481034"/>
    <w:rsid w:val="00492D7F"/>
    <w:rsid w:val="004B20E6"/>
    <w:rsid w:val="004B285E"/>
    <w:rsid w:val="004D0A9A"/>
    <w:rsid w:val="004D18D4"/>
    <w:rsid w:val="004D319C"/>
    <w:rsid w:val="004E0342"/>
    <w:rsid w:val="004E45CB"/>
    <w:rsid w:val="004E6008"/>
    <w:rsid w:val="004F3181"/>
    <w:rsid w:val="004F51E2"/>
    <w:rsid w:val="004F6785"/>
    <w:rsid w:val="00511E94"/>
    <w:rsid w:val="00515B2A"/>
    <w:rsid w:val="00520324"/>
    <w:rsid w:val="00542439"/>
    <w:rsid w:val="00544037"/>
    <w:rsid w:val="0055295C"/>
    <w:rsid w:val="00560D90"/>
    <w:rsid w:val="0059729C"/>
    <w:rsid w:val="00597823"/>
    <w:rsid w:val="005B1CB2"/>
    <w:rsid w:val="005B225B"/>
    <w:rsid w:val="005B39B1"/>
    <w:rsid w:val="005E19E8"/>
    <w:rsid w:val="005F3008"/>
    <w:rsid w:val="006026DE"/>
    <w:rsid w:val="00606890"/>
    <w:rsid w:val="00607246"/>
    <w:rsid w:val="00610CD1"/>
    <w:rsid w:val="0061564D"/>
    <w:rsid w:val="006208F7"/>
    <w:rsid w:val="00622443"/>
    <w:rsid w:val="00646727"/>
    <w:rsid w:val="00661D4A"/>
    <w:rsid w:val="00665591"/>
    <w:rsid w:val="006679F3"/>
    <w:rsid w:val="00681570"/>
    <w:rsid w:val="006A28F0"/>
    <w:rsid w:val="006A30BC"/>
    <w:rsid w:val="006B332C"/>
    <w:rsid w:val="006D3C36"/>
    <w:rsid w:val="006E54E9"/>
    <w:rsid w:val="006E6FA9"/>
    <w:rsid w:val="006F01C6"/>
    <w:rsid w:val="006F1BAF"/>
    <w:rsid w:val="006F41A6"/>
    <w:rsid w:val="006F70A0"/>
    <w:rsid w:val="007071A6"/>
    <w:rsid w:val="00713BBF"/>
    <w:rsid w:val="00715359"/>
    <w:rsid w:val="0071665C"/>
    <w:rsid w:val="00723E3D"/>
    <w:rsid w:val="0073310E"/>
    <w:rsid w:val="00750A68"/>
    <w:rsid w:val="00752A53"/>
    <w:rsid w:val="00770DD8"/>
    <w:rsid w:val="00771259"/>
    <w:rsid w:val="00775B4B"/>
    <w:rsid w:val="00782596"/>
    <w:rsid w:val="007869F2"/>
    <w:rsid w:val="007872CA"/>
    <w:rsid w:val="00792DC8"/>
    <w:rsid w:val="007A4AF3"/>
    <w:rsid w:val="007B04AD"/>
    <w:rsid w:val="007B375E"/>
    <w:rsid w:val="007B48EC"/>
    <w:rsid w:val="007D0F74"/>
    <w:rsid w:val="007D5D88"/>
    <w:rsid w:val="007E39F6"/>
    <w:rsid w:val="007F0B01"/>
    <w:rsid w:val="0080545D"/>
    <w:rsid w:val="008064B2"/>
    <w:rsid w:val="00821021"/>
    <w:rsid w:val="00827A50"/>
    <w:rsid w:val="00833108"/>
    <w:rsid w:val="0085023D"/>
    <w:rsid w:val="00855132"/>
    <w:rsid w:val="0086722C"/>
    <w:rsid w:val="008717BB"/>
    <w:rsid w:val="00875563"/>
    <w:rsid w:val="00876D51"/>
    <w:rsid w:val="008A140D"/>
    <w:rsid w:val="008B6C10"/>
    <w:rsid w:val="008C021A"/>
    <w:rsid w:val="008C17C8"/>
    <w:rsid w:val="008C79D8"/>
    <w:rsid w:val="008D251C"/>
    <w:rsid w:val="008D3182"/>
    <w:rsid w:val="008E17D0"/>
    <w:rsid w:val="008F2AB6"/>
    <w:rsid w:val="008F36EC"/>
    <w:rsid w:val="008F66A9"/>
    <w:rsid w:val="00904527"/>
    <w:rsid w:val="00906CE4"/>
    <w:rsid w:val="00910E76"/>
    <w:rsid w:val="0091659E"/>
    <w:rsid w:val="00920ACC"/>
    <w:rsid w:val="009224D0"/>
    <w:rsid w:val="00931A76"/>
    <w:rsid w:val="00932387"/>
    <w:rsid w:val="00935165"/>
    <w:rsid w:val="0093732F"/>
    <w:rsid w:val="00965A29"/>
    <w:rsid w:val="0097328A"/>
    <w:rsid w:val="00974F5C"/>
    <w:rsid w:val="009909A6"/>
    <w:rsid w:val="009A5C50"/>
    <w:rsid w:val="009C1406"/>
    <w:rsid w:val="009C1ECF"/>
    <w:rsid w:val="009E3FC5"/>
    <w:rsid w:val="009E7B49"/>
    <w:rsid w:val="009F4FAE"/>
    <w:rsid w:val="00A10CCF"/>
    <w:rsid w:val="00A205AC"/>
    <w:rsid w:val="00A4485D"/>
    <w:rsid w:val="00A477E9"/>
    <w:rsid w:val="00A52A31"/>
    <w:rsid w:val="00A65308"/>
    <w:rsid w:val="00A72413"/>
    <w:rsid w:val="00A8729B"/>
    <w:rsid w:val="00A94631"/>
    <w:rsid w:val="00AB5564"/>
    <w:rsid w:val="00AC6049"/>
    <w:rsid w:val="00AD1E33"/>
    <w:rsid w:val="00AE033F"/>
    <w:rsid w:val="00AE6760"/>
    <w:rsid w:val="00AE7783"/>
    <w:rsid w:val="00AF22E2"/>
    <w:rsid w:val="00B0145E"/>
    <w:rsid w:val="00B0567A"/>
    <w:rsid w:val="00B12AC7"/>
    <w:rsid w:val="00B30DE7"/>
    <w:rsid w:val="00B417B6"/>
    <w:rsid w:val="00B6732C"/>
    <w:rsid w:val="00B71486"/>
    <w:rsid w:val="00BA2DAC"/>
    <w:rsid w:val="00BA56C5"/>
    <w:rsid w:val="00BA5AEE"/>
    <w:rsid w:val="00BB5D7E"/>
    <w:rsid w:val="00BD30C5"/>
    <w:rsid w:val="00BD67BE"/>
    <w:rsid w:val="00BE265F"/>
    <w:rsid w:val="00BE5861"/>
    <w:rsid w:val="00BE793B"/>
    <w:rsid w:val="00BF543B"/>
    <w:rsid w:val="00C13379"/>
    <w:rsid w:val="00C138AB"/>
    <w:rsid w:val="00C20176"/>
    <w:rsid w:val="00C201A1"/>
    <w:rsid w:val="00C22C28"/>
    <w:rsid w:val="00C25C94"/>
    <w:rsid w:val="00C275AD"/>
    <w:rsid w:val="00C51710"/>
    <w:rsid w:val="00C6252E"/>
    <w:rsid w:val="00C661E6"/>
    <w:rsid w:val="00C8437A"/>
    <w:rsid w:val="00C9465F"/>
    <w:rsid w:val="00C97B93"/>
    <w:rsid w:val="00CA2751"/>
    <w:rsid w:val="00CB6737"/>
    <w:rsid w:val="00CC0A01"/>
    <w:rsid w:val="00CE24FC"/>
    <w:rsid w:val="00CE6CB9"/>
    <w:rsid w:val="00D124F5"/>
    <w:rsid w:val="00D12834"/>
    <w:rsid w:val="00D16024"/>
    <w:rsid w:val="00D3022C"/>
    <w:rsid w:val="00D410B3"/>
    <w:rsid w:val="00D55A50"/>
    <w:rsid w:val="00D601E5"/>
    <w:rsid w:val="00D811EF"/>
    <w:rsid w:val="00D82B47"/>
    <w:rsid w:val="00D843FF"/>
    <w:rsid w:val="00D87CCA"/>
    <w:rsid w:val="00D87FE9"/>
    <w:rsid w:val="00DA2F41"/>
    <w:rsid w:val="00DA4EA2"/>
    <w:rsid w:val="00DA794B"/>
    <w:rsid w:val="00DB2FFC"/>
    <w:rsid w:val="00DB3CEF"/>
    <w:rsid w:val="00DC51E2"/>
    <w:rsid w:val="00DE55EF"/>
    <w:rsid w:val="00E03647"/>
    <w:rsid w:val="00E218A9"/>
    <w:rsid w:val="00E34115"/>
    <w:rsid w:val="00E377A7"/>
    <w:rsid w:val="00E400F7"/>
    <w:rsid w:val="00E51A25"/>
    <w:rsid w:val="00E567E4"/>
    <w:rsid w:val="00E63CBC"/>
    <w:rsid w:val="00E74A58"/>
    <w:rsid w:val="00E92BE8"/>
    <w:rsid w:val="00EB6A04"/>
    <w:rsid w:val="00EC3707"/>
    <w:rsid w:val="00ED1275"/>
    <w:rsid w:val="00ED5D3E"/>
    <w:rsid w:val="00EE017C"/>
    <w:rsid w:val="00EE2B28"/>
    <w:rsid w:val="00EE5FA0"/>
    <w:rsid w:val="00EF294B"/>
    <w:rsid w:val="00EF3DE2"/>
    <w:rsid w:val="00F07DEC"/>
    <w:rsid w:val="00F151E9"/>
    <w:rsid w:val="00F316FC"/>
    <w:rsid w:val="00F366C6"/>
    <w:rsid w:val="00F45DCC"/>
    <w:rsid w:val="00F4785F"/>
    <w:rsid w:val="00F53ED8"/>
    <w:rsid w:val="00F60EB8"/>
    <w:rsid w:val="00F803C2"/>
    <w:rsid w:val="00F92A83"/>
    <w:rsid w:val="00F943EE"/>
    <w:rsid w:val="00F967E5"/>
    <w:rsid w:val="00FA15BD"/>
    <w:rsid w:val="00FA4CC2"/>
    <w:rsid w:val="00FB5F72"/>
    <w:rsid w:val="00F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DF01"/>
  <w15:chartTrackingRefBased/>
  <w15:docId w15:val="{53A264BF-B4FE-491A-BEFA-8303587D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29"/>
    <w:pPr>
      <w:suppressAutoHyphens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65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7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65A29"/>
    <w:pPr>
      <w:spacing w:after="0" w:line="240" w:lineRule="auto"/>
    </w:pPr>
    <w:rPr>
      <w:rFonts w:asciiTheme="minorHAnsi" w:hAnsiTheme="minorHAns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65A2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65A29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965A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965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qFormat/>
    <w:rsid w:val="00965A29"/>
    <w:pPr>
      <w:suppressAutoHyphens w:val="0"/>
      <w:spacing w:line="257" w:lineRule="auto"/>
      <w:jc w:val="center"/>
      <w:outlineLvl w:val="9"/>
    </w:pPr>
    <w:rPr>
      <w:rFonts w:ascii="Times New Roman" w:eastAsia="Calibri Light" w:hAnsi="Times New Roman" w:cs="Basic Roman"/>
      <w:color w:val="000000"/>
      <w:sz w:val="28"/>
      <w:lang w:eastAsia="zh-CN"/>
    </w:rPr>
  </w:style>
  <w:style w:type="paragraph" w:styleId="a5">
    <w:name w:val="List Paragraph"/>
    <w:basedOn w:val="a"/>
    <w:qFormat/>
    <w:rsid w:val="00E63CBC"/>
    <w:pPr>
      <w:suppressAutoHyphens w:val="0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495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46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495"/>
    <w:rPr>
      <w:rFonts w:asciiTheme="minorHAnsi" w:hAnsiTheme="minorHAnsi"/>
      <w:sz w:val="22"/>
    </w:rPr>
  </w:style>
  <w:style w:type="character" w:styleId="aa">
    <w:name w:val="Hyperlink"/>
    <w:basedOn w:val="a0"/>
    <w:unhideWhenUsed/>
    <w:rsid w:val="009E3F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714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2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5171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51710"/>
    <w:rPr>
      <w:rFonts w:asciiTheme="minorHAnsi" w:hAnsiTheme="minorHAns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51710"/>
    <w:rPr>
      <w:vertAlign w:val="superscript"/>
    </w:rPr>
  </w:style>
  <w:style w:type="character" w:styleId="af">
    <w:name w:val="Placeholder Text"/>
    <w:basedOn w:val="a0"/>
    <w:uiPriority w:val="99"/>
    <w:semiHidden/>
    <w:rsid w:val="00E218A9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C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6049"/>
    <w:rPr>
      <w:rFonts w:ascii="Segoe UI" w:hAnsi="Segoe UI" w:cs="Segoe UI"/>
      <w:sz w:val="18"/>
      <w:szCs w:val="18"/>
    </w:rPr>
  </w:style>
  <w:style w:type="character" w:customStyle="1" w:styleId="a-size-extra-large">
    <w:name w:val="a-size-extra-large"/>
    <w:basedOn w:val="a0"/>
    <w:rsid w:val="004F3181"/>
  </w:style>
  <w:style w:type="character" w:styleId="af2">
    <w:name w:val="FollowedHyperlink"/>
    <w:basedOn w:val="a0"/>
    <w:uiPriority w:val="99"/>
    <w:semiHidden/>
    <w:unhideWhenUsed/>
    <w:rsid w:val="00AE0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505F-DA6A-431E-A5AF-9BFAAC67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roma_kulkov@mail.ru</dc:creator>
  <cp:keywords/>
  <dc:description/>
  <cp:lastModifiedBy>Ivan V.</cp:lastModifiedBy>
  <cp:revision>10</cp:revision>
  <cp:lastPrinted>2024-06-05T19:06:00Z</cp:lastPrinted>
  <dcterms:created xsi:type="dcterms:W3CDTF">2024-06-19T17:36:00Z</dcterms:created>
  <dcterms:modified xsi:type="dcterms:W3CDTF">2025-01-20T16:12:00Z</dcterms:modified>
</cp:coreProperties>
</file>