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B53B" w14:textId="505B559B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02246A">
        <w:rPr>
          <w:rFonts w:eastAsia="Calibri"/>
          <w:b/>
          <w:color w:val="000000"/>
          <w:sz w:val="28"/>
          <w:szCs w:val="28"/>
        </w:rPr>
        <w:t>Договор факторинга</w:t>
      </w:r>
    </w:p>
    <w:p w14:paraId="465AC9C5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7C64D12D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682ACFA4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5CAECAE5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01E2DE3B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3CCAABBF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6AA904B2" w14:textId="36CC75C5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rPr>
          <w:rFonts w:eastAsia="Calibri"/>
          <w:b/>
          <w:color w:val="000000"/>
          <w:sz w:val="28"/>
          <w:szCs w:val="28"/>
        </w:rPr>
      </w:pPr>
    </w:p>
    <w:p w14:paraId="59D12F7B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22D0D651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521FE5E1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4A24D19B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25CB26F2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442F52B5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0C0BCA05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4BA4849C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2E87DDA0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24D1B9E9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56653C14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21425969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318E2215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058C617E" w14:textId="77777777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057C9C2A" w14:textId="052C7556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02246A">
        <w:rPr>
          <w:rFonts w:eastAsia="Calibri"/>
          <w:b/>
          <w:color w:val="000000"/>
          <w:sz w:val="28"/>
          <w:szCs w:val="28"/>
        </w:rPr>
        <w:br w:type="page"/>
      </w:r>
    </w:p>
    <w:p w14:paraId="67EEC6D3" w14:textId="0CDC4E66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02246A">
        <w:rPr>
          <w:rFonts w:eastAsia="Calibri"/>
          <w:b/>
          <w:color w:val="000000"/>
          <w:sz w:val="28"/>
          <w:szCs w:val="28"/>
        </w:rPr>
        <w:lastRenderedPageBreak/>
        <w:t>Содержание</w:t>
      </w:r>
    </w:p>
    <w:p w14:paraId="3B6A1E2C" w14:textId="71143F52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30CE159D" w14:textId="2802757E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rPr>
          <w:rFonts w:eastAsia="Calibri"/>
          <w:bCs/>
          <w:color w:val="000000"/>
          <w:sz w:val="28"/>
          <w:szCs w:val="28"/>
        </w:rPr>
      </w:pPr>
      <w:r w:rsidRPr="0002246A">
        <w:rPr>
          <w:rFonts w:eastAsia="Calibri"/>
          <w:bCs/>
          <w:color w:val="000000"/>
          <w:sz w:val="28"/>
          <w:szCs w:val="28"/>
        </w:rPr>
        <w:t>Введение…………………………………………………………………</w:t>
      </w:r>
      <w:proofErr w:type="gramStart"/>
      <w:r w:rsidRPr="0002246A">
        <w:rPr>
          <w:rFonts w:eastAsia="Calibri"/>
          <w:bCs/>
          <w:color w:val="000000"/>
          <w:sz w:val="28"/>
          <w:szCs w:val="28"/>
        </w:rPr>
        <w:t>……</w:t>
      </w:r>
      <w:r w:rsidR="009D1A2A">
        <w:rPr>
          <w:rFonts w:eastAsia="Calibri"/>
          <w:bCs/>
          <w:color w:val="000000"/>
          <w:sz w:val="28"/>
          <w:szCs w:val="28"/>
        </w:rPr>
        <w:t>.</w:t>
      </w:r>
      <w:proofErr w:type="gramEnd"/>
      <w:r w:rsidR="009D1A2A">
        <w:rPr>
          <w:rFonts w:eastAsia="Calibri"/>
          <w:bCs/>
          <w:color w:val="000000"/>
          <w:sz w:val="28"/>
          <w:szCs w:val="28"/>
        </w:rPr>
        <w:t>.</w:t>
      </w:r>
      <w:r w:rsidRPr="0002246A">
        <w:rPr>
          <w:rFonts w:eastAsia="Calibri"/>
          <w:bCs/>
          <w:color w:val="000000"/>
          <w:sz w:val="28"/>
          <w:szCs w:val="28"/>
        </w:rPr>
        <w:t xml:space="preserve">… </w:t>
      </w:r>
      <w:r w:rsidR="009D1A2A">
        <w:rPr>
          <w:rFonts w:eastAsia="Calibri"/>
          <w:bCs/>
          <w:color w:val="000000"/>
          <w:sz w:val="28"/>
          <w:szCs w:val="28"/>
        </w:rPr>
        <w:t>5</w:t>
      </w:r>
    </w:p>
    <w:p w14:paraId="293F5DCB" w14:textId="2FC20FF6" w:rsidR="000027FD" w:rsidRPr="0002246A" w:rsidRDefault="000027FD" w:rsidP="0002246A">
      <w:pPr>
        <w:tabs>
          <w:tab w:val="left" w:leader="dot" w:pos="9072"/>
        </w:tabs>
        <w:spacing w:line="360" w:lineRule="auto"/>
        <w:contextualSpacing/>
        <w:rPr>
          <w:rFonts w:eastAsia="Calibri"/>
          <w:bCs/>
          <w:color w:val="000000"/>
          <w:sz w:val="28"/>
          <w:szCs w:val="28"/>
        </w:rPr>
      </w:pPr>
      <w:r w:rsidRPr="0002246A">
        <w:rPr>
          <w:rFonts w:eastAsia="Calibri"/>
          <w:bCs/>
          <w:color w:val="000000"/>
          <w:sz w:val="28"/>
          <w:szCs w:val="28"/>
        </w:rPr>
        <w:t xml:space="preserve">1. </w:t>
      </w:r>
      <w:r w:rsidR="00410A32" w:rsidRPr="0002246A">
        <w:rPr>
          <w:rFonts w:eastAsia="Calibri"/>
          <w:bCs/>
          <w:color w:val="000000"/>
          <w:sz w:val="28"/>
          <w:szCs w:val="28"/>
        </w:rPr>
        <w:t>Правовая природа</w:t>
      </w:r>
      <w:r w:rsidRPr="0002246A">
        <w:rPr>
          <w:rFonts w:eastAsia="Calibri"/>
          <w:bCs/>
          <w:color w:val="000000"/>
          <w:sz w:val="28"/>
          <w:szCs w:val="28"/>
        </w:rPr>
        <w:t xml:space="preserve"> договора факторинга и его отличие от смежных правовых институтов………</w:t>
      </w:r>
      <w:r w:rsidR="00410A32" w:rsidRPr="0002246A">
        <w:rPr>
          <w:rFonts w:eastAsia="Calibri"/>
          <w:bCs/>
          <w:color w:val="000000"/>
          <w:sz w:val="28"/>
          <w:szCs w:val="28"/>
        </w:rPr>
        <w:t>……………………</w:t>
      </w:r>
      <w:proofErr w:type="gramStart"/>
      <w:r w:rsidR="00410A32" w:rsidRPr="0002246A">
        <w:rPr>
          <w:rFonts w:eastAsia="Calibri"/>
          <w:bCs/>
          <w:color w:val="000000"/>
          <w:sz w:val="28"/>
          <w:szCs w:val="28"/>
        </w:rPr>
        <w:t>…….</w:t>
      </w:r>
      <w:proofErr w:type="gramEnd"/>
      <w:r w:rsidR="00410A32" w:rsidRPr="0002246A">
        <w:rPr>
          <w:rFonts w:eastAsia="Calibri"/>
          <w:bCs/>
          <w:color w:val="000000"/>
          <w:sz w:val="28"/>
          <w:szCs w:val="28"/>
        </w:rPr>
        <w:t>.</w:t>
      </w:r>
      <w:r w:rsidRPr="0002246A">
        <w:rPr>
          <w:rFonts w:eastAsia="Calibri"/>
          <w:bCs/>
          <w:color w:val="000000"/>
          <w:sz w:val="28"/>
          <w:szCs w:val="28"/>
        </w:rPr>
        <w:t xml:space="preserve">………………………... </w:t>
      </w:r>
      <w:r w:rsidR="009D1A2A">
        <w:rPr>
          <w:rFonts w:eastAsia="Calibri"/>
          <w:bCs/>
          <w:color w:val="000000"/>
          <w:sz w:val="28"/>
          <w:szCs w:val="28"/>
        </w:rPr>
        <w:t>5</w:t>
      </w:r>
    </w:p>
    <w:p w14:paraId="51969DB1" w14:textId="4EEADC87" w:rsidR="000027FD" w:rsidRPr="0002246A" w:rsidRDefault="000027FD" w:rsidP="0002246A">
      <w:pPr>
        <w:tabs>
          <w:tab w:val="left" w:leader="dot" w:pos="9072"/>
        </w:tabs>
        <w:spacing w:line="360" w:lineRule="auto"/>
        <w:contextualSpacing/>
        <w:rPr>
          <w:rFonts w:eastAsia="Calibri"/>
          <w:bCs/>
          <w:color w:val="000000"/>
          <w:sz w:val="28"/>
          <w:szCs w:val="28"/>
        </w:rPr>
      </w:pPr>
      <w:r w:rsidRPr="0002246A">
        <w:rPr>
          <w:rFonts w:eastAsia="Calibri"/>
          <w:bCs/>
          <w:color w:val="000000"/>
          <w:sz w:val="28"/>
          <w:szCs w:val="28"/>
        </w:rPr>
        <w:t xml:space="preserve">1.1. Понятие и правовая характеристика договора факторинга………………. </w:t>
      </w:r>
      <w:r w:rsidR="009D1A2A">
        <w:rPr>
          <w:rFonts w:eastAsia="Calibri"/>
          <w:bCs/>
          <w:color w:val="000000"/>
          <w:sz w:val="28"/>
          <w:szCs w:val="28"/>
        </w:rPr>
        <w:t>5</w:t>
      </w:r>
    </w:p>
    <w:p w14:paraId="00A1384B" w14:textId="73F72037" w:rsidR="004A587D" w:rsidRPr="0002246A" w:rsidRDefault="000027FD" w:rsidP="0002246A">
      <w:pPr>
        <w:tabs>
          <w:tab w:val="left" w:leader="dot" w:pos="9072"/>
        </w:tabs>
        <w:spacing w:line="360" w:lineRule="auto"/>
        <w:contextualSpacing/>
        <w:rPr>
          <w:rFonts w:eastAsia="Calibri"/>
          <w:bCs/>
          <w:color w:val="000000"/>
          <w:sz w:val="28"/>
          <w:szCs w:val="28"/>
        </w:rPr>
      </w:pPr>
      <w:r w:rsidRPr="0002246A">
        <w:rPr>
          <w:rFonts w:eastAsia="Calibri"/>
          <w:bCs/>
          <w:color w:val="000000"/>
          <w:sz w:val="28"/>
          <w:szCs w:val="28"/>
        </w:rPr>
        <w:t xml:space="preserve">1.2. </w:t>
      </w:r>
      <w:r w:rsidR="006846B0" w:rsidRPr="0002246A">
        <w:rPr>
          <w:rFonts w:eastAsia="Calibri"/>
          <w:bCs/>
          <w:color w:val="000000"/>
          <w:sz w:val="28"/>
          <w:szCs w:val="28"/>
        </w:rPr>
        <w:t xml:space="preserve">Модели договора </w:t>
      </w:r>
      <w:r w:rsidR="00410A32" w:rsidRPr="0002246A">
        <w:rPr>
          <w:rFonts w:eastAsia="Calibri"/>
          <w:bCs/>
          <w:color w:val="000000"/>
          <w:sz w:val="28"/>
          <w:szCs w:val="28"/>
        </w:rPr>
        <w:t>факторинга</w:t>
      </w:r>
      <w:r w:rsidR="006846B0" w:rsidRPr="0002246A">
        <w:rPr>
          <w:rFonts w:eastAsia="Calibri"/>
          <w:bCs/>
          <w:color w:val="000000"/>
          <w:sz w:val="28"/>
          <w:szCs w:val="28"/>
        </w:rPr>
        <w:t xml:space="preserve"> и его </w:t>
      </w:r>
      <w:r w:rsidR="00410A32" w:rsidRPr="0002246A">
        <w:rPr>
          <w:rFonts w:eastAsia="Calibri"/>
          <w:bCs/>
          <w:color w:val="000000"/>
          <w:sz w:val="28"/>
          <w:szCs w:val="28"/>
        </w:rPr>
        <w:t>с</w:t>
      </w:r>
      <w:r w:rsidR="006846B0" w:rsidRPr="0002246A">
        <w:rPr>
          <w:rFonts w:eastAsia="Calibri"/>
          <w:bCs/>
          <w:color w:val="000000"/>
          <w:sz w:val="28"/>
          <w:szCs w:val="28"/>
        </w:rPr>
        <w:t xml:space="preserve">оотношение </w:t>
      </w:r>
      <w:r w:rsidR="00410A32" w:rsidRPr="0002246A">
        <w:rPr>
          <w:rFonts w:eastAsia="Calibri"/>
          <w:bCs/>
          <w:color w:val="000000"/>
          <w:sz w:val="28"/>
          <w:szCs w:val="28"/>
        </w:rPr>
        <w:t>со смежными правовыми институтами</w:t>
      </w:r>
      <w:r w:rsidRPr="0002246A">
        <w:rPr>
          <w:rFonts w:eastAsia="Calibri"/>
          <w:bCs/>
          <w:color w:val="000000"/>
          <w:sz w:val="28"/>
          <w:szCs w:val="28"/>
        </w:rPr>
        <w:t>……</w:t>
      </w:r>
      <w:r w:rsidR="00410A32" w:rsidRPr="0002246A">
        <w:rPr>
          <w:rFonts w:eastAsia="Calibri"/>
          <w:bCs/>
          <w:color w:val="000000"/>
          <w:sz w:val="28"/>
          <w:szCs w:val="28"/>
        </w:rPr>
        <w:t>………………………………………</w:t>
      </w:r>
      <w:proofErr w:type="gramStart"/>
      <w:r w:rsidR="00410A32" w:rsidRPr="0002246A">
        <w:rPr>
          <w:rFonts w:eastAsia="Calibri"/>
          <w:bCs/>
          <w:color w:val="000000"/>
          <w:sz w:val="28"/>
          <w:szCs w:val="28"/>
        </w:rPr>
        <w:t>…….</w:t>
      </w:r>
      <w:proofErr w:type="gramEnd"/>
      <w:r w:rsidR="00410A32" w:rsidRPr="0002246A">
        <w:rPr>
          <w:rFonts w:eastAsia="Calibri"/>
          <w:bCs/>
          <w:color w:val="000000"/>
          <w:sz w:val="28"/>
          <w:szCs w:val="28"/>
        </w:rPr>
        <w:t>.</w:t>
      </w:r>
      <w:r w:rsidRPr="0002246A">
        <w:rPr>
          <w:rFonts w:eastAsia="Calibri"/>
          <w:bCs/>
          <w:color w:val="000000"/>
          <w:sz w:val="28"/>
          <w:szCs w:val="28"/>
        </w:rPr>
        <w:t xml:space="preserve">…… </w:t>
      </w:r>
      <w:r w:rsidR="009D1A2A">
        <w:rPr>
          <w:rFonts w:eastAsia="Calibri"/>
          <w:bCs/>
          <w:color w:val="000000"/>
          <w:sz w:val="28"/>
          <w:szCs w:val="28"/>
        </w:rPr>
        <w:t>12</w:t>
      </w:r>
    </w:p>
    <w:p w14:paraId="4ACCD0E2" w14:textId="7E7CAB04" w:rsidR="004A587D" w:rsidRPr="0002246A" w:rsidRDefault="00410A32" w:rsidP="0002246A">
      <w:pPr>
        <w:tabs>
          <w:tab w:val="left" w:leader="dot" w:pos="9072"/>
        </w:tabs>
        <w:spacing w:line="360" w:lineRule="auto"/>
        <w:contextualSpacing/>
        <w:rPr>
          <w:rFonts w:eastAsia="Calibri"/>
          <w:bCs/>
          <w:color w:val="000000"/>
          <w:sz w:val="28"/>
          <w:szCs w:val="28"/>
        </w:rPr>
      </w:pPr>
      <w:r w:rsidRPr="0002246A">
        <w:rPr>
          <w:rFonts w:eastAsia="Calibri"/>
          <w:bCs/>
          <w:color w:val="000000"/>
          <w:sz w:val="28"/>
          <w:szCs w:val="28"/>
        </w:rPr>
        <w:t>2. П</w:t>
      </w:r>
      <w:r w:rsidR="00CA45DE" w:rsidRPr="0002246A">
        <w:rPr>
          <w:rFonts w:eastAsia="Calibri"/>
          <w:bCs/>
          <w:color w:val="000000"/>
          <w:sz w:val="28"/>
          <w:szCs w:val="28"/>
        </w:rPr>
        <w:t>р</w:t>
      </w:r>
      <w:r w:rsidRPr="0002246A">
        <w:rPr>
          <w:rFonts w:eastAsia="Calibri"/>
          <w:bCs/>
          <w:color w:val="000000"/>
          <w:sz w:val="28"/>
          <w:szCs w:val="28"/>
        </w:rPr>
        <w:t>авовое регулирование факторинга</w:t>
      </w:r>
      <w:r w:rsidR="00CA45DE" w:rsidRPr="0002246A">
        <w:rPr>
          <w:rFonts w:eastAsia="Calibri"/>
          <w:bCs/>
          <w:color w:val="000000"/>
          <w:sz w:val="28"/>
          <w:szCs w:val="28"/>
        </w:rPr>
        <w:t xml:space="preserve"> в России……………………………. </w:t>
      </w:r>
      <w:r w:rsidR="009D1A2A">
        <w:rPr>
          <w:rFonts w:eastAsia="Calibri"/>
          <w:bCs/>
          <w:color w:val="000000"/>
          <w:sz w:val="28"/>
          <w:szCs w:val="28"/>
        </w:rPr>
        <w:t>21</w:t>
      </w:r>
    </w:p>
    <w:p w14:paraId="7E8ED19E" w14:textId="5334ADDA" w:rsidR="00CA45DE" w:rsidRPr="0002246A" w:rsidRDefault="00CA45DE" w:rsidP="0002246A">
      <w:pPr>
        <w:tabs>
          <w:tab w:val="left" w:leader="dot" w:pos="9072"/>
        </w:tabs>
        <w:spacing w:line="360" w:lineRule="auto"/>
        <w:contextualSpacing/>
        <w:rPr>
          <w:rFonts w:eastAsia="Calibri"/>
          <w:bCs/>
          <w:color w:val="000000"/>
          <w:sz w:val="28"/>
          <w:szCs w:val="28"/>
        </w:rPr>
      </w:pPr>
      <w:r w:rsidRPr="0002246A">
        <w:rPr>
          <w:rFonts w:eastAsia="Calibri"/>
          <w:bCs/>
          <w:color w:val="000000"/>
          <w:sz w:val="28"/>
          <w:szCs w:val="28"/>
        </w:rPr>
        <w:t>2.1. Нормативно-правовая база договора факторинга…………………</w:t>
      </w:r>
      <w:proofErr w:type="gramStart"/>
      <w:r w:rsidRPr="0002246A">
        <w:rPr>
          <w:rFonts w:eastAsia="Calibri"/>
          <w:bCs/>
          <w:color w:val="000000"/>
          <w:sz w:val="28"/>
          <w:szCs w:val="28"/>
        </w:rPr>
        <w:t>…….</w:t>
      </w:r>
      <w:proofErr w:type="gramEnd"/>
      <w:r w:rsidRPr="0002246A">
        <w:rPr>
          <w:rFonts w:eastAsia="Calibri"/>
          <w:bCs/>
          <w:color w:val="000000"/>
          <w:sz w:val="28"/>
          <w:szCs w:val="28"/>
        </w:rPr>
        <w:t xml:space="preserve">. </w:t>
      </w:r>
      <w:r w:rsidR="009D1A2A">
        <w:rPr>
          <w:rFonts w:eastAsia="Calibri"/>
          <w:bCs/>
          <w:color w:val="000000"/>
          <w:sz w:val="28"/>
          <w:szCs w:val="28"/>
        </w:rPr>
        <w:t>21</w:t>
      </w:r>
    </w:p>
    <w:p w14:paraId="789B40AD" w14:textId="32A3853D" w:rsidR="00CA45DE" w:rsidRPr="0002246A" w:rsidRDefault="00CA45DE" w:rsidP="0002246A">
      <w:pPr>
        <w:tabs>
          <w:tab w:val="left" w:leader="dot" w:pos="9072"/>
        </w:tabs>
        <w:spacing w:line="360" w:lineRule="auto"/>
        <w:contextualSpacing/>
        <w:rPr>
          <w:rFonts w:eastAsia="Calibri"/>
          <w:bCs/>
          <w:color w:val="000000"/>
          <w:sz w:val="28"/>
          <w:szCs w:val="28"/>
        </w:rPr>
      </w:pPr>
      <w:r w:rsidRPr="0002246A">
        <w:rPr>
          <w:rFonts w:eastAsia="Calibri"/>
          <w:bCs/>
          <w:color w:val="000000"/>
          <w:sz w:val="28"/>
          <w:szCs w:val="28"/>
        </w:rPr>
        <w:t>2.2. Проблемы и перспективы регулирования договора факторинга на современном этапе……………………………………………………</w:t>
      </w:r>
      <w:r w:rsidR="00AE63D5" w:rsidRPr="0002246A">
        <w:rPr>
          <w:rFonts w:eastAsia="Calibri"/>
          <w:bCs/>
          <w:color w:val="000000"/>
          <w:sz w:val="28"/>
          <w:szCs w:val="28"/>
        </w:rPr>
        <w:t>...</w:t>
      </w:r>
      <w:r w:rsidRPr="0002246A">
        <w:rPr>
          <w:rFonts w:eastAsia="Calibri"/>
          <w:bCs/>
          <w:color w:val="000000"/>
          <w:sz w:val="28"/>
          <w:szCs w:val="28"/>
        </w:rPr>
        <w:t xml:space="preserve">……… </w:t>
      </w:r>
      <w:r w:rsidR="009D1A2A">
        <w:rPr>
          <w:rFonts w:eastAsia="Calibri"/>
          <w:bCs/>
          <w:color w:val="000000"/>
          <w:sz w:val="28"/>
          <w:szCs w:val="28"/>
        </w:rPr>
        <w:t>26</w:t>
      </w:r>
    </w:p>
    <w:p w14:paraId="7D53EBAF" w14:textId="7AACD454" w:rsidR="00AE63D5" w:rsidRPr="0002246A" w:rsidRDefault="00AE63D5" w:rsidP="0002246A">
      <w:pPr>
        <w:tabs>
          <w:tab w:val="left" w:leader="dot" w:pos="9072"/>
        </w:tabs>
        <w:spacing w:line="360" w:lineRule="auto"/>
        <w:contextualSpacing/>
        <w:rPr>
          <w:rFonts w:eastAsia="Calibri"/>
          <w:bCs/>
          <w:color w:val="000000"/>
          <w:sz w:val="28"/>
          <w:szCs w:val="28"/>
        </w:rPr>
      </w:pPr>
      <w:r w:rsidRPr="0002246A">
        <w:rPr>
          <w:rFonts w:eastAsia="Calibri"/>
          <w:bCs/>
          <w:color w:val="000000"/>
          <w:sz w:val="28"/>
          <w:szCs w:val="28"/>
        </w:rPr>
        <w:t xml:space="preserve">Заключение……………………………………………………………………… </w:t>
      </w:r>
      <w:r w:rsidR="009D1A2A">
        <w:rPr>
          <w:rFonts w:eastAsia="Calibri"/>
          <w:bCs/>
          <w:color w:val="000000"/>
          <w:sz w:val="28"/>
          <w:szCs w:val="28"/>
        </w:rPr>
        <w:t>34</w:t>
      </w:r>
    </w:p>
    <w:p w14:paraId="4677E093" w14:textId="0C446001" w:rsidR="00AE63D5" w:rsidRPr="0002246A" w:rsidRDefault="00AE63D5" w:rsidP="0002246A">
      <w:pPr>
        <w:tabs>
          <w:tab w:val="left" w:leader="dot" w:pos="9072"/>
        </w:tabs>
        <w:spacing w:line="360" w:lineRule="auto"/>
        <w:contextualSpacing/>
        <w:rPr>
          <w:rFonts w:eastAsia="Calibri"/>
          <w:bCs/>
          <w:color w:val="000000"/>
          <w:sz w:val="28"/>
          <w:szCs w:val="28"/>
        </w:rPr>
      </w:pPr>
      <w:r w:rsidRPr="0002246A">
        <w:rPr>
          <w:rFonts w:eastAsia="Calibri"/>
          <w:bCs/>
          <w:color w:val="000000"/>
          <w:sz w:val="28"/>
          <w:szCs w:val="28"/>
        </w:rPr>
        <w:t>Список использованных источников……………………………………</w:t>
      </w:r>
      <w:proofErr w:type="gramStart"/>
      <w:r w:rsidRPr="0002246A">
        <w:rPr>
          <w:rFonts w:eastAsia="Calibri"/>
          <w:bCs/>
          <w:color w:val="000000"/>
          <w:sz w:val="28"/>
          <w:szCs w:val="28"/>
        </w:rPr>
        <w:t>…….</w:t>
      </w:r>
      <w:proofErr w:type="gramEnd"/>
      <w:r w:rsidRPr="0002246A">
        <w:rPr>
          <w:rFonts w:eastAsia="Calibri"/>
          <w:bCs/>
          <w:color w:val="000000"/>
          <w:sz w:val="28"/>
          <w:szCs w:val="28"/>
        </w:rPr>
        <w:t xml:space="preserve">. </w:t>
      </w:r>
      <w:r w:rsidR="009D1A2A">
        <w:rPr>
          <w:rFonts w:eastAsia="Calibri"/>
          <w:bCs/>
          <w:color w:val="000000"/>
          <w:sz w:val="28"/>
          <w:szCs w:val="28"/>
        </w:rPr>
        <w:t>36</w:t>
      </w:r>
    </w:p>
    <w:p w14:paraId="0BE64C63" w14:textId="39D28BD8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02246A">
        <w:rPr>
          <w:rFonts w:eastAsia="Calibri"/>
          <w:b/>
          <w:color w:val="000000"/>
          <w:sz w:val="28"/>
          <w:szCs w:val="28"/>
        </w:rPr>
        <w:br w:type="page"/>
      </w:r>
    </w:p>
    <w:p w14:paraId="5D4BB4C2" w14:textId="0C742FFC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02246A">
        <w:rPr>
          <w:rFonts w:eastAsia="Calibri"/>
          <w:b/>
          <w:color w:val="000000"/>
          <w:sz w:val="28"/>
          <w:szCs w:val="28"/>
        </w:rPr>
        <w:lastRenderedPageBreak/>
        <w:t>Введение</w:t>
      </w:r>
    </w:p>
    <w:p w14:paraId="1F397101" w14:textId="79B105EE" w:rsidR="004A587D" w:rsidRPr="0002246A" w:rsidRDefault="004A587D" w:rsidP="0002246A">
      <w:pPr>
        <w:tabs>
          <w:tab w:val="left" w:leader="dot" w:pos="9072"/>
        </w:tabs>
        <w:spacing w:line="36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7584DAE6" w14:textId="320BB0B7" w:rsidR="004A587D" w:rsidRPr="0002246A" w:rsidRDefault="004A587D" w:rsidP="0002246A">
      <w:pPr>
        <w:tabs>
          <w:tab w:val="left" w:leader="dot" w:pos="9072"/>
        </w:tabs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02246A">
        <w:rPr>
          <w:bCs/>
          <w:color w:val="000000" w:themeColor="text1"/>
          <w:sz w:val="28"/>
          <w:szCs w:val="28"/>
        </w:rPr>
        <w:t xml:space="preserve">Актуальность курсовой работы обусловлена тем, что в настоящее время в условиях нестабильной геополитической и экономической обстановки  российский предприниматель столкнулся с такими препятствиями, как повальная дебиторская задолженность, высокие риски авансирования со стороны кредитных организаций в связи с низкой оборачиваемостью и </w:t>
      </w:r>
      <w:proofErr w:type="spellStart"/>
      <w:r w:rsidRPr="0002246A">
        <w:rPr>
          <w:bCs/>
          <w:color w:val="000000" w:themeColor="text1"/>
          <w:sz w:val="28"/>
          <w:szCs w:val="28"/>
        </w:rPr>
        <w:t>капиталовооруженностью</w:t>
      </w:r>
      <w:proofErr w:type="spellEnd"/>
      <w:r w:rsidRPr="0002246A">
        <w:rPr>
          <w:bCs/>
          <w:color w:val="000000" w:themeColor="text1"/>
          <w:sz w:val="28"/>
          <w:szCs w:val="28"/>
        </w:rPr>
        <w:t xml:space="preserve"> предпринимателей, нестабильное политическое положение в государстве и в мире, потеря клиентов и снижение спроса на товар, а также кадровые</w:t>
      </w:r>
      <w:r w:rsidR="008C49AF" w:rsidRPr="0002246A">
        <w:rPr>
          <w:bCs/>
          <w:color w:val="000000" w:themeColor="text1"/>
          <w:sz w:val="28"/>
          <w:szCs w:val="28"/>
        </w:rPr>
        <w:t xml:space="preserve"> риски</w:t>
      </w:r>
      <w:r w:rsidRPr="0002246A">
        <w:rPr>
          <w:bCs/>
          <w:color w:val="000000" w:themeColor="text1"/>
          <w:sz w:val="28"/>
          <w:szCs w:val="28"/>
        </w:rPr>
        <w:t xml:space="preserve">. С большинством вышеназванных проблем можно справиться, обратив внимание на один из самых непопулярных видов кредитования в России – факторинг, который является одним из самых перспективных видов банковских услуг. Это связано с тем, что он лучше приспосабливается к постоянным переменам на рынке и процессам развития экономики. </w:t>
      </w:r>
    </w:p>
    <w:p w14:paraId="663F2C9E" w14:textId="3A267A95" w:rsidR="008C49AF" w:rsidRPr="0002246A" w:rsidRDefault="008C49AF" w:rsidP="0002246A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2246A">
        <w:rPr>
          <w:bCs/>
          <w:color w:val="000000" w:themeColor="text1"/>
          <w:sz w:val="28"/>
          <w:szCs w:val="28"/>
        </w:rPr>
        <w:t>Думается, что договор финансирования под уступку прав финансовых требований (договор факторинга) представляет достойную альтернативу для разрешения указанных выше проблем. Это позволит значительно быстрее улучшить платежеспособность клиента (компании сферы жилищно-коммунального хозяйства) и уменьшить расходы на взыскание задолженности, поручив эту часть работы компаниям, имеющим в своем штате необходимых специалистов с опытом работы по взысканию дебиторской задолженности.</w:t>
      </w:r>
    </w:p>
    <w:sectPr w:rsidR="008C49AF" w:rsidRPr="0002246A" w:rsidSect="004A587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192F" w14:textId="77777777" w:rsidR="00A3468A" w:rsidRDefault="00A3468A" w:rsidP="004A587D">
      <w:r>
        <w:separator/>
      </w:r>
    </w:p>
  </w:endnote>
  <w:endnote w:type="continuationSeparator" w:id="0">
    <w:p w14:paraId="06584B74" w14:textId="77777777" w:rsidR="00A3468A" w:rsidRDefault="00A3468A" w:rsidP="004A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169466"/>
      <w:docPartObj>
        <w:docPartGallery w:val="Page Numbers (Bottom of Page)"/>
        <w:docPartUnique/>
      </w:docPartObj>
    </w:sdtPr>
    <w:sdtEndPr/>
    <w:sdtContent>
      <w:p w14:paraId="77F830BE" w14:textId="5F477DC8" w:rsidR="004A587D" w:rsidRDefault="004A58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5A09" w14:textId="77777777" w:rsidR="00A3468A" w:rsidRDefault="00A3468A" w:rsidP="004A587D">
      <w:r>
        <w:separator/>
      </w:r>
    </w:p>
  </w:footnote>
  <w:footnote w:type="continuationSeparator" w:id="0">
    <w:p w14:paraId="4D599C79" w14:textId="77777777" w:rsidR="00A3468A" w:rsidRDefault="00A3468A" w:rsidP="004A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4474"/>
    <w:multiLevelType w:val="multilevel"/>
    <w:tmpl w:val="21E34474"/>
    <w:lvl w:ilvl="0">
      <w:start w:val="1"/>
      <w:numFmt w:val="decimal"/>
      <w:lvlText w:val="%1)"/>
      <w:lvlJc w:val="left"/>
      <w:pPr>
        <w:ind w:left="1883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F01FA4"/>
    <w:multiLevelType w:val="hybridMultilevel"/>
    <w:tmpl w:val="09D47CC8"/>
    <w:lvl w:ilvl="0" w:tplc="51DA176D">
      <w:start w:val="1"/>
      <w:numFmt w:val="bullet"/>
      <w:lvlText w:val="‒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E42976"/>
    <w:multiLevelType w:val="multilevel"/>
    <w:tmpl w:val="2AE4297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DA176D"/>
    <w:multiLevelType w:val="singleLevel"/>
    <w:tmpl w:val="51DA176D"/>
    <w:lvl w:ilvl="0">
      <w:start w:val="1"/>
      <w:numFmt w:val="bullet"/>
      <w:lvlText w:val="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7D"/>
    <w:rsid w:val="000027FD"/>
    <w:rsid w:val="0002246A"/>
    <w:rsid w:val="0021094E"/>
    <w:rsid w:val="00410A32"/>
    <w:rsid w:val="00422329"/>
    <w:rsid w:val="004A587D"/>
    <w:rsid w:val="004B54A0"/>
    <w:rsid w:val="00525A96"/>
    <w:rsid w:val="006846B0"/>
    <w:rsid w:val="00722405"/>
    <w:rsid w:val="008C49AF"/>
    <w:rsid w:val="009D1A2A"/>
    <w:rsid w:val="00A23A06"/>
    <w:rsid w:val="00A3468A"/>
    <w:rsid w:val="00AE63D5"/>
    <w:rsid w:val="00B61E72"/>
    <w:rsid w:val="00CA45DE"/>
    <w:rsid w:val="00CF20DE"/>
    <w:rsid w:val="00E33A35"/>
    <w:rsid w:val="00E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BC8"/>
  <w15:chartTrackingRefBased/>
  <w15:docId w15:val="{3BECCE61-8274-4C06-8F5E-60B36E25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4A587D"/>
    <w:rPr>
      <w:vertAlign w:val="superscript"/>
    </w:rPr>
  </w:style>
  <w:style w:type="character" w:styleId="a4">
    <w:name w:val="Hyperlink"/>
    <w:basedOn w:val="a0"/>
    <w:uiPriority w:val="99"/>
    <w:unhideWhenUsed/>
    <w:rsid w:val="004A587D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4A587D"/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qFormat/>
    <w:rsid w:val="004A587D"/>
    <w:rPr>
      <w:rFonts w:eastAsiaTheme="minorEastAsi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A5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5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58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ПАРАГРАФ,List Paragraph,Таблицы нейминг,список мой1,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"/>
    <w:basedOn w:val="a"/>
    <w:link w:val="ac"/>
    <w:uiPriority w:val="34"/>
    <w:qFormat/>
    <w:rsid w:val="000027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722405"/>
    <w:rPr>
      <w:color w:val="605E5C"/>
      <w:shd w:val="clear" w:color="auto" w:fill="E1DFDD"/>
    </w:rPr>
  </w:style>
  <w:style w:type="character" w:customStyle="1" w:styleId="ac">
    <w:name w:val="Абзац списка Знак"/>
    <w:aliases w:val="ПАРАГРАФ Знак,List Paragraph Знак,Таблицы нейминг Знак,список мой1 Знак,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"/>
    <w:basedOn w:val="a0"/>
    <w:link w:val="ab"/>
    <w:uiPriority w:val="34"/>
    <w:rsid w:val="00CF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0485-02A6-4AEC-9DB1-CAC556DE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3</cp:revision>
  <dcterms:created xsi:type="dcterms:W3CDTF">2024-03-18T11:07:00Z</dcterms:created>
  <dcterms:modified xsi:type="dcterms:W3CDTF">2025-01-31T11:32:00Z</dcterms:modified>
</cp:coreProperties>
</file>