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40D8" w14:textId="77777777" w:rsidR="00255008" w:rsidRDefault="00255008" w:rsidP="00255008">
      <w:pPr>
        <w:pStyle w:val="a4"/>
        <w:spacing w:line="480" w:lineRule="auto"/>
        <w:jc w:val="center"/>
      </w:pPr>
      <w:r>
        <w:t>СОДЕРЖАНИЕ</w:t>
      </w:r>
    </w:p>
    <w:p w14:paraId="160E8FFD" w14:textId="77777777" w:rsidR="00DE7480" w:rsidRDefault="00DE7480" w:rsidP="0003651D">
      <w:pPr>
        <w:pStyle w:val="a4"/>
        <w:spacing w:line="480" w:lineRule="auto"/>
        <w:jc w:val="center"/>
      </w:pPr>
    </w:p>
    <w:p w14:paraId="47B69781" w14:textId="77777777" w:rsidR="00A84226" w:rsidRDefault="00E721B7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fldChar w:fldCharType="begin"/>
      </w:r>
      <w:r>
        <w:instrText xml:space="preserve"> TOC \o "1-1" \t "Заголовок 2;1" </w:instrText>
      </w:r>
      <w:r>
        <w:fldChar w:fldCharType="separate"/>
      </w:r>
      <w:r w:rsidR="00A84226">
        <w:rPr>
          <w:noProof/>
        </w:rPr>
        <w:t>В</w:t>
      </w:r>
      <w:r w:rsidR="00A84226" w:rsidRPr="003259F0">
        <w:rPr>
          <w:noProof/>
        </w:rPr>
        <w:t>ведение</w:t>
      </w:r>
      <w:r w:rsidR="00A84226">
        <w:rPr>
          <w:noProof/>
        </w:rPr>
        <w:tab/>
      </w:r>
      <w:r w:rsidR="00A84226">
        <w:rPr>
          <w:noProof/>
        </w:rPr>
        <w:fldChar w:fldCharType="begin"/>
      </w:r>
      <w:r w:rsidR="00A84226">
        <w:rPr>
          <w:noProof/>
        </w:rPr>
        <w:instrText xml:space="preserve"> PAGEREF _Toc136530560 \h </w:instrText>
      </w:r>
      <w:r w:rsidR="00A84226">
        <w:rPr>
          <w:noProof/>
        </w:rPr>
      </w:r>
      <w:r w:rsidR="00A84226">
        <w:rPr>
          <w:noProof/>
        </w:rPr>
        <w:fldChar w:fldCharType="separate"/>
      </w:r>
      <w:r w:rsidR="00A84226">
        <w:rPr>
          <w:noProof/>
        </w:rPr>
        <w:t>3</w:t>
      </w:r>
      <w:r w:rsidR="00A84226">
        <w:rPr>
          <w:noProof/>
        </w:rPr>
        <w:fldChar w:fldCharType="end"/>
      </w:r>
    </w:p>
    <w:p w14:paraId="42DF0B5A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1 Теоретические основы бизнес-анализа и оптимизация управления финансовыми ресурсами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1C34D39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1.1 Сущность и методы бизнес-анализа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C7628CC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1.2 Методы анализа финансового состояния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C07F095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1.3 Принципы и подходы к управлению финансовыми ресурсами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77A53FC5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2. Анализ финансового состояния АО «Нижневартовская ГРЭС»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198C58E3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2.1 Организационно-экономическая характеристика АО «Нижневартовская ГРЭС»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383ABABB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2.2 Анализ и оценка финансового состояния АО «Нижневартовская ГРЭС»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401A6F9A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2.3 Место АО «Нижневартовская ГРЭС» на конкурентном рынке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51382E5A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3 Направления и мероприятия по оптимизации управления финансовых ресурсов АО «Нижневартовская ГРЭС»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73571081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3.1 Основные проблемы АО «Нижневартовская ГРЭС» и пути их решения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6E210E96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3.2 Пути оптимизации управления финансовыми ресурсами АО «Нижневартовская ГРЭС»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053975B9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3.3 Оценка эффективности рекомендуемых мероприятий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0865FCF9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4BA689DD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Список использованных источников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4F03BFF9" w14:textId="77777777" w:rsidR="00A84226" w:rsidRDefault="00A84226" w:rsidP="00A84226">
      <w:pPr>
        <w:pStyle w:val="11"/>
        <w:rPr>
          <w:rFonts w:asciiTheme="minorHAnsi" w:hAnsiTheme="minorHAnsi"/>
          <w:noProof/>
          <w:sz w:val="22"/>
          <w:lang w:eastAsia="ru-RU"/>
        </w:rPr>
      </w:pPr>
      <w:r>
        <w:rPr>
          <w:noProof/>
        </w:rPr>
        <w:t>Приложение 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5DE88162" w14:textId="77777777" w:rsidR="00255008" w:rsidRDefault="00A84226" w:rsidP="00A84226">
      <w:pPr>
        <w:pStyle w:val="11"/>
      </w:pPr>
      <w:r>
        <w:rPr>
          <w:noProof/>
        </w:rPr>
        <w:t>Приложение 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_Toc136530576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  <w:r w:rsidR="00E721B7">
        <w:fldChar w:fldCharType="end"/>
      </w:r>
      <w:r w:rsidR="00255008">
        <w:br w:type="page"/>
      </w:r>
    </w:p>
    <w:p w14:paraId="3BB862D8" w14:textId="77777777" w:rsidR="00255008" w:rsidRPr="00C76B22" w:rsidRDefault="00255008" w:rsidP="00C76B22">
      <w:pPr>
        <w:pStyle w:val="1"/>
        <w:rPr>
          <w:rFonts w:eastAsiaTheme="minorEastAsia"/>
          <w:lang w:eastAsia="ko-KR"/>
        </w:rPr>
      </w:pPr>
      <w:bookmarkStart w:id="0" w:name="_Toc136530560"/>
      <w:r>
        <w:lastRenderedPageBreak/>
        <w:t>В</w:t>
      </w:r>
      <w:r w:rsidR="00C76B22">
        <w:rPr>
          <w:rFonts w:eastAsiaTheme="minorEastAsia"/>
          <w:lang w:eastAsia="ko-KR"/>
        </w:rPr>
        <w:t>ведение</w:t>
      </w:r>
      <w:bookmarkEnd w:id="0"/>
    </w:p>
    <w:p w14:paraId="2BB4D4EF" w14:textId="77777777" w:rsidR="00DE7480" w:rsidRDefault="00DE7480" w:rsidP="00BC60DF">
      <w:pPr>
        <w:spacing w:after="160" w:line="480" w:lineRule="auto"/>
        <w:ind w:firstLine="0"/>
        <w:jc w:val="center"/>
      </w:pPr>
    </w:p>
    <w:p w14:paraId="53598DD8" w14:textId="77777777" w:rsidR="00834DF4" w:rsidRDefault="00834DF4" w:rsidP="00834DF4">
      <w:pPr>
        <w:pStyle w:val="a4"/>
      </w:pPr>
      <w:r>
        <w:rPr>
          <w:i/>
        </w:rPr>
        <w:t>Актуальность темы</w:t>
      </w:r>
      <w:r>
        <w:t>. С развитием российского рынка и</w:t>
      </w:r>
      <w:r w:rsidR="00D83378">
        <w:t xml:space="preserve"> с</w:t>
      </w:r>
      <w:r>
        <w:t xml:space="preserve"> развити</w:t>
      </w:r>
      <w:r w:rsidR="001850B1">
        <w:t>ем</w:t>
      </w:r>
      <w:r>
        <w:t xml:space="preserve"> конкуренции на н</w:t>
      </w:r>
      <w:r w:rsidR="00D83378">
        <w:t>ем</w:t>
      </w:r>
      <w:r>
        <w:t xml:space="preserve">, государством был затронут рынок электроэнергетики. Появление новых энергетических компаний дало толчок в ускорении развития данного сектора. Стало необходимостью динамичное развитие компаний, внедрение новых технологий и </w:t>
      </w:r>
      <w:r w:rsidR="00D83378">
        <w:t xml:space="preserve">улучшение </w:t>
      </w:r>
      <w:r>
        <w:t>подходов к управлению бизнес-процессами. Целью чего становится улучшение конечного продукта и услуг, а также более конкурентное регулирование цены и избавлени</w:t>
      </w:r>
      <w:r w:rsidR="00D83378">
        <w:t>е</w:t>
      </w:r>
      <w:r>
        <w:t xml:space="preserve"> рынка от монополизации.</w:t>
      </w:r>
    </w:p>
    <w:p w14:paraId="2DA37A13" w14:textId="77777777" w:rsidR="00834DF4" w:rsidRDefault="00834DF4" w:rsidP="00834DF4">
      <w:pPr>
        <w:pStyle w:val="a4"/>
      </w:pPr>
      <w:r>
        <w:t xml:space="preserve">Важными сегментами изучаемого оптового рынка являются: рынок регулируемых договоров, где идет продажа электроэнергии для населения; рынок свободных договоров – прямой договор между потребителем и генерацией; рынок на сутки вперед – для собственного </w:t>
      </w:r>
      <w:r w:rsidR="00A84226">
        <w:t>планирования объемов</w:t>
      </w:r>
      <w:r>
        <w:t xml:space="preserve"> потребления потребителями; балансирующий рынок – для предприятий, которым тяжело самим контролировать объемы потребляемой электроэнергии и конкурентный отбор мощности – продается остаточная мощность по конкурентной цене.</w:t>
      </w:r>
      <w:r w:rsidR="002D5B58">
        <w:t xml:space="preserve"> Как видно оптовый ранок достаточно обширный и управлять своими ресурсами так, чтобы был захвачен каждый рынок трудно.</w:t>
      </w:r>
    </w:p>
    <w:p w14:paraId="738F063D" w14:textId="77777777" w:rsidR="00834DF4" w:rsidRDefault="00834DF4" w:rsidP="00834DF4">
      <w:pPr>
        <w:pStyle w:val="a4"/>
      </w:pPr>
      <w:r>
        <w:t>Совершенствование системы управления финансовыми ресурсами, улучшение бизнес-процессов компании необходимо для</w:t>
      </w:r>
      <w:r w:rsidR="002D5B58">
        <w:t xml:space="preserve"> эффективного управления своими ресурсами, а также</w:t>
      </w:r>
      <w:r>
        <w:t xml:space="preserve"> увеличения конкурентоспособности, для развития организации и выход на новые территории. В этом и заключается актуальность темы исследования.</w:t>
      </w:r>
    </w:p>
    <w:p w14:paraId="50EF3C1C" w14:textId="77777777" w:rsidR="009851C3" w:rsidRDefault="00834DF4" w:rsidP="009851C3">
      <w:pPr>
        <w:pStyle w:val="a4"/>
      </w:pPr>
      <w:r>
        <w:rPr>
          <w:i/>
        </w:rPr>
        <w:t xml:space="preserve">Степень изученности проблемы </w:t>
      </w:r>
      <w:r>
        <w:t>оптимизации управления финансовыми результатами организации, анализа финанс</w:t>
      </w:r>
      <w:r w:rsidR="009851C3">
        <w:t>ового анализа и бизнес-анализа.</w:t>
      </w:r>
    </w:p>
    <w:p w14:paraId="04E1D205" w14:textId="77777777" w:rsidR="00834DF4" w:rsidRDefault="00834DF4" w:rsidP="009851C3">
      <w:pPr>
        <w:pStyle w:val="a4"/>
      </w:pPr>
      <w:r w:rsidRPr="00017164">
        <w:t>Данной теме посвящены исследования многих ученых и практиков:</w:t>
      </w:r>
      <w:r w:rsidR="00017164">
        <w:t xml:space="preserve"> Абрамова, Р. С., </w:t>
      </w:r>
      <w:proofErr w:type="spellStart"/>
      <w:r w:rsidR="00017164">
        <w:t>Али</w:t>
      </w:r>
      <w:r w:rsidR="009851C3">
        <w:t>мханов</w:t>
      </w:r>
      <w:r w:rsidR="002D5B58">
        <w:t>а</w:t>
      </w:r>
      <w:proofErr w:type="spellEnd"/>
      <w:r w:rsidR="00017164">
        <w:t xml:space="preserve"> М. Х., Бендерск</w:t>
      </w:r>
      <w:r w:rsidR="002D5B58">
        <w:t>ой</w:t>
      </w:r>
      <w:r w:rsidR="00017164">
        <w:t xml:space="preserve"> </w:t>
      </w:r>
      <w:r w:rsidR="009851C3">
        <w:t>О. Б.,</w:t>
      </w:r>
      <w:r w:rsidR="00017164">
        <w:t xml:space="preserve"> </w:t>
      </w:r>
      <w:proofErr w:type="spellStart"/>
      <w:r w:rsidR="00017164">
        <w:t>Костарн</w:t>
      </w:r>
      <w:r w:rsidR="002D5B58">
        <w:t>ой</w:t>
      </w:r>
      <w:proofErr w:type="spellEnd"/>
      <w:r w:rsidR="00017164">
        <w:t xml:space="preserve"> И. И., </w:t>
      </w:r>
      <w:r w:rsidR="009851C3">
        <w:t>Березин</w:t>
      </w:r>
      <w:r w:rsidR="002D5B58">
        <w:t>ой</w:t>
      </w:r>
      <w:r w:rsidR="009851C3">
        <w:t xml:space="preserve">, Ю. А., </w:t>
      </w:r>
      <w:proofErr w:type="spellStart"/>
      <w:r w:rsidR="009851C3">
        <w:t>Горюткин</w:t>
      </w:r>
      <w:r w:rsidR="002D5B58">
        <w:t>ой</w:t>
      </w:r>
      <w:proofErr w:type="spellEnd"/>
      <w:r w:rsidR="009851C3">
        <w:t xml:space="preserve"> А. А., Иванюк</w:t>
      </w:r>
      <w:r w:rsidR="002D5B58">
        <w:t>а</w:t>
      </w:r>
      <w:r w:rsidR="009851C3">
        <w:t xml:space="preserve"> И. В., Коршик</w:t>
      </w:r>
      <w:r w:rsidR="002D5B58">
        <w:t>а</w:t>
      </w:r>
      <w:r w:rsidR="009851C3">
        <w:t xml:space="preserve"> Л. В, </w:t>
      </w:r>
      <w:r w:rsidR="009851C3">
        <w:lastRenderedPageBreak/>
        <w:t>Каминск</w:t>
      </w:r>
      <w:r w:rsidR="002D5B58">
        <w:t>о</w:t>
      </w:r>
      <w:r w:rsidR="009851C3">
        <w:t xml:space="preserve">й Г. М., </w:t>
      </w:r>
      <w:r w:rsidR="00017164">
        <w:t>Кузнецов</w:t>
      </w:r>
      <w:r w:rsidR="002D5B58">
        <w:t>ой</w:t>
      </w:r>
      <w:r w:rsidR="009851C3">
        <w:t xml:space="preserve"> В. Д.</w:t>
      </w:r>
      <w:r w:rsidR="00017164">
        <w:t xml:space="preserve">, </w:t>
      </w:r>
      <w:proofErr w:type="spellStart"/>
      <w:r w:rsidR="00017164">
        <w:t>Саченок</w:t>
      </w:r>
      <w:r w:rsidR="002D5B58">
        <w:t>а</w:t>
      </w:r>
      <w:proofErr w:type="spellEnd"/>
      <w:r w:rsidR="009851C3">
        <w:t xml:space="preserve"> Л. И., Макаров</w:t>
      </w:r>
      <w:r w:rsidR="002D5B58">
        <w:t>ой</w:t>
      </w:r>
      <w:r w:rsidR="009851C3">
        <w:t xml:space="preserve"> Л. М., </w:t>
      </w:r>
      <w:proofErr w:type="spellStart"/>
      <w:r w:rsidR="009851C3">
        <w:t>Гетьман</w:t>
      </w:r>
      <w:proofErr w:type="spellEnd"/>
      <w:r w:rsidR="009851C3">
        <w:t xml:space="preserve"> Д., </w:t>
      </w:r>
      <w:r w:rsidR="00017164">
        <w:t>Жукова</w:t>
      </w:r>
      <w:r w:rsidR="009851C3">
        <w:t xml:space="preserve"> А. Е.</w:t>
      </w:r>
      <w:r w:rsidR="00017164">
        <w:t>, Панова</w:t>
      </w:r>
      <w:r w:rsidR="009851C3">
        <w:t xml:space="preserve"> Ю. В.</w:t>
      </w:r>
      <w:r w:rsidR="00017164">
        <w:t xml:space="preserve">, </w:t>
      </w:r>
      <w:proofErr w:type="spellStart"/>
      <w:r w:rsidR="00017164">
        <w:t>Манукян</w:t>
      </w:r>
      <w:proofErr w:type="spellEnd"/>
      <w:r w:rsidR="009851C3">
        <w:t xml:space="preserve"> Э. А.</w:t>
      </w:r>
      <w:r w:rsidR="00017164">
        <w:t xml:space="preserve">, </w:t>
      </w:r>
      <w:proofErr w:type="spellStart"/>
      <w:r w:rsidR="00017164">
        <w:t>Воротынцев</w:t>
      </w:r>
      <w:r w:rsidR="009A3827">
        <w:t>ой</w:t>
      </w:r>
      <w:proofErr w:type="spellEnd"/>
      <w:r w:rsidR="009851C3">
        <w:t xml:space="preserve"> А. В., </w:t>
      </w:r>
      <w:r w:rsidR="00017164">
        <w:t>Серегин</w:t>
      </w:r>
      <w:r w:rsidR="009A3827">
        <w:t>ой</w:t>
      </w:r>
      <w:r w:rsidR="009851C3">
        <w:t xml:space="preserve"> С. С.</w:t>
      </w:r>
      <w:r w:rsidR="00017164">
        <w:t>, Котенко</w:t>
      </w:r>
      <w:r w:rsidR="009851C3">
        <w:t xml:space="preserve"> А. В.</w:t>
      </w:r>
      <w:r w:rsidR="00017164">
        <w:t>,</w:t>
      </w:r>
      <w:r w:rsidR="009851C3">
        <w:t xml:space="preserve"> Петренко В. В., </w:t>
      </w:r>
      <w:proofErr w:type="spellStart"/>
      <w:r w:rsidR="009851C3">
        <w:t>Ханахмедов</w:t>
      </w:r>
      <w:r w:rsidR="009A3827">
        <w:t>ой</w:t>
      </w:r>
      <w:proofErr w:type="spellEnd"/>
      <w:r w:rsidR="009851C3">
        <w:t xml:space="preserve"> М. Х., </w:t>
      </w:r>
      <w:r w:rsidR="00017164">
        <w:t>Цыганков</w:t>
      </w:r>
      <w:r w:rsidR="009A3827">
        <w:t>ой</w:t>
      </w:r>
      <w:r w:rsidR="009851C3">
        <w:t xml:space="preserve"> А. И.</w:t>
      </w:r>
      <w:r w:rsidR="00017164">
        <w:t>, Шихат</w:t>
      </w:r>
      <w:r w:rsidR="009851C3">
        <w:t>ов</w:t>
      </w:r>
      <w:r w:rsidR="009A3827">
        <w:t>а</w:t>
      </w:r>
      <w:r w:rsidR="009851C3" w:rsidRPr="009851C3">
        <w:t xml:space="preserve"> </w:t>
      </w:r>
      <w:r w:rsidR="009851C3">
        <w:t>П. И.</w:t>
      </w:r>
    </w:p>
    <w:p w14:paraId="6642C71B" w14:textId="77777777" w:rsidR="00834DF4" w:rsidRDefault="00834DF4" w:rsidP="00834DF4">
      <w:pPr>
        <w:pStyle w:val="a4"/>
      </w:pPr>
      <w:r>
        <w:rPr>
          <w:i/>
        </w:rPr>
        <w:t>Объект и предмет исследования</w:t>
      </w:r>
      <w:r>
        <w:t>. Объектом исследования является организация в сфере производства электроэнергии, именуемая АО «Нижневартовская ГРЭС». Предметом – основная деятельность организации, ее показатели и результативность.</w:t>
      </w:r>
    </w:p>
    <w:p w14:paraId="2ADD46FA" w14:textId="77777777" w:rsidR="00834DF4" w:rsidRDefault="00834DF4" w:rsidP="00834DF4">
      <w:pPr>
        <w:pStyle w:val="a4"/>
      </w:pPr>
      <w:bookmarkStart w:id="1" w:name="_Hlk136249217"/>
      <w:r>
        <w:rPr>
          <w:i/>
        </w:rPr>
        <w:t>Цели и задачи исследования</w:t>
      </w:r>
      <w:r>
        <w:t>. Целью выпускной квалификационной работы является теоретическое обоснование и методическая разработка предложений по оптимизации управления финансовыми результатами организации в сфере производства электроэнергии.</w:t>
      </w:r>
    </w:p>
    <w:p w14:paraId="05F8BB71" w14:textId="77777777" w:rsidR="00834DF4" w:rsidRDefault="00834DF4" w:rsidP="00834DF4">
      <w:pPr>
        <w:pStyle w:val="a4"/>
      </w:pPr>
      <w:r>
        <w:t>Для достижения указанной цели поставлены и решены следующие задачи:</w:t>
      </w:r>
    </w:p>
    <w:p w14:paraId="323B90A1" w14:textId="77777777" w:rsidR="00834DF4" w:rsidRDefault="00834DF4" w:rsidP="00834DF4">
      <w:pPr>
        <w:pStyle w:val="a"/>
        <w:numPr>
          <w:ilvl w:val="0"/>
          <w:numId w:val="25"/>
        </w:numPr>
        <w:ind w:left="0" w:firstLine="709"/>
      </w:pPr>
      <w:r>
        <w:t>изучение теоретической части вопроса, а именно рассмотрены</w:t>
      </w:r>
      <w:r>
        <w:rPr>
          <w:noProof/>
        </w:rPr>
        <w:t xml:space="preserve"> основы бизнес</w:t>
      </w:r>
      <w:r w:rsidR="009A3827">
        <w:rPr>
          <w:noProof/>
        </w:rPr>
        <w:t>-</w:t>
      </w:r>
      <w:r>
        <w:rPr>
          <w:noProof/>
        </w:rPr>
        <w:t>анализа, приципы и подходы к управлению финансовыми ресунсами, а также, методы финансового состояния организации;</w:t>
      </w:r>
    </w:p>
    <w:p w14:paraId="32283B45" w14:textId="77777777" w:rsidR="00834DF4" w:rsidRDefault="00834DF4" w:rsidP="00834DF4">
      <w:pPr>
        <w:pStyle w:val="a"/>
        <w:numPr>
          <w:ilvl w:val="0"/>
          <w:numId w:val="25"/>
        </w:numPr>
        <w:ind w:left="0" w:firstLine="709"/>
      </w:pPr>
      <w:r>
        <w:t>ознакомление с организационно-экономической характеристикой организации</w:t>
      </w:r>
      <w:r w:rsidR="009A3827">
        <w:t>;</w:t>
      </w:r>
    </w:p>
    <w:p w14:paraId="4C76842E" w14:textId="77777777" w:rsidR="00834DF4" w:rsidRDefault="00834DF4" w:rsidP="00834DF4">
      <w:pPr>
        <w:pStyle w:val="a"/>
        <w:numPr>
          <w:ilvl w:val="0"/>
          <w:numId w:val="25"/>
        </w:numPr>
        <w:ind w:left="0" w:firstLine="709"/>
      </w:pPr>
      <w:r>
        <w:t xml:space="preserve">проведение бизнес-анализа и </w:t>
      </w:r>
      <w:r w:rsidR="009A3827">
        <w:t xml:space="preserve">изучение </w:t>
      </w:r>
      <w:r>
        <w:t>финансового состояния организации;</w:t>
      </w:r>
    </w:p>
    <w:p w14:paraId="79B9C8CD" w14:textId="77777777" w:rsidR="00834DF4" w:rsidRDefault="00834DF4" w:rsidP="00834DF4">
      <w:pPr>
        <w:pStyle w:val="a"/>
        <w:numPr>
          <w:ilvl w:val="0"/>
          <w:numId w:val="25"/>
        </w:numPr>
        <w:ind w:left="0" w:firstLine="709"/>
      </w:pPr>
      <w:r>
        <w:t>изучение конкурентного рынка энергетики;</w:t>
      </w:r>
    </w:p>
    <w:p w14:paraId="6759567C" w14:textId="77777777" w:rsidR="00834DF4" w:rsidRDefault="00834DF4" w:rsidP="00834DF4">
      <w:pPr>
        <w:pStyle w:val="a"/>
        <w:numPr>
          <w:ilvl w:val="0"/>
          <w:numId w:val="25"/>
        </w:numPr>
        <w:ind w:left="0" w:firstLine="709"/>
      </w:pPr>
      <w:r>
        <w:t>нахождение основных проблем АО «Нижневартовская ГРЭС» и пути их решения с последующей оценкой.</w:t>
      </w:r>
      <w:bookmarkEnd w:id="1"/>
    </w:p>
    <w:sectPr w:rsidR="00834DF4" w:rsidSect="004135ED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7BD1" w14:textId="77777777" w:rsidR="00186262" w:rsidRDefault="00186262" w:rsidP="00CC3D81">
      <w:r>
        <w:separator/>
      </w:r>
    </w:p>
  </w:endnote>
  <w:endnote w:type="continuationSeparator" w:id="0">
    <w:p w14:paraId="057DCEA6" w14:textId="77777777" w:rsidR="00186262" w:rsidRDefault="00186262" w:rsidP="00CC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343477"/>
      <w:docPartObj>
        <w:docPartGallery w:val="Page Numbers (Bottom of Page)"/>
        <w:docPartUnique/>
      </w:docPartObj>
    </w:sdtPr>
    <w:sdtEndPr/>
    <w:sdtContent>
      <w:p w14:paraId="7CAA3F2C" w14:textId="77777777" w:rsidR="00C52715" w:rsidRDefault="00C5271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9B7">
          <w:rPr>
            <w:noProof/>
          </w:rPr>
          <w:t>36</w:t>
        </w:r>
        <w:r>
          <w:fldChar w:fldCharType="end"/>
        </w:r>
      </w:p>
    </w:sdtContent>
  </w:sdt>
  <w:p w14:paraId="2A4663A9" w14:textId="77777777" w:rsidR="00C52715" w:rsidRDefault="00C5271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9BC4" w14:textId="77777777" w:rsidR="00186262" w:rsidRDefault="00186262" w:rsidP="00CC3D81">
      <w:r>
        <w:separator/>
      </w:r>
    </w:p>
  </w:footnote>
  <w:footnote w:type="continuationSeparator" w:id="0">
    <w:p w14:paraId="6D398888" w14:textId="77777777" w:rsidR="00186262" w:rsidRDefault="00186262" w:rsidP="00CC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CE3"/>
    <w:multiLevelType w:val="hybridMultilevel"/>
    <w:tmpl w:val="50AC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4DDB"/>
    <w:multiLevelType w:val="hybridMultilevel"/>
    <w:tmpl w:val="34506274"/>
    <w:lvl w:ilvl="0" w:tplc="195E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21C"/>
    <w:multiLevelType w:val="hybridMultilevel"/>
    <w:tmpl w:val="11B841F0"/>
    <w:lvl w:ilvl="0" w:tplc="84786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25B10"/>
    <w:multiLevelType w:val="hybridMultilevel"/>
    <w:tmpl w:val="97F66542"/>
    <w:lvl w:ilvl="0" w:tplc="4B08C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901E80"/>
    <w:multiLevelType w:val="hybridMultilevel"/>
    <w:tmpl w:val="FB0A68CE"/>
    <w:lvl w:ilvl="0" w:tplc="FB56D8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8342A57"/>
    <w:multiLevelType w:val="hybridMultilevel"/>
    <w:tmpl w:val="2154F5AA"/>
    <w:lvl w:ilvl="0" w:tplc="E1204390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F26E6F"/>
    <w:multiLevelType w:val="hybridMultilevel"/>
    <w:tmpl w:val="F0E2D1E0"/>
    <w:lvl w:ilvl="0" w:tplc="195E8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337FBE"/>
    <w:multiLevelType w:val="multilevel"/>
    <w:tmpl w:val="E070BB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A901961"/>
    <w:multiLevelType w:val="hybridMultilevel"/>
    <w:tmpl w:val="ADB2F0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986A37"/>
    <w:multiLevelType w:val="hybridMultilevel"/>
    <w:tmpl w:val="D446002E"/>
    <w:lvl w:ilvl="0" w:tplc="73D65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2F67AE"/>
    <w:multiLevelType w:val="hybridMultilevel"/>
    <w:tmpl w:val="9C1A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000C5"/>
    <w:multiLevelType w:val="hybridMultilevel"/>
    <w:tmpl w:val="754E9952"/>
    <w:lvl w:ilvl="0" w:tplc="195E8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CB59B3"/>
    <w:multiLevelType w:val="hybridMultilevel"/>
    <w:tmpl w:val="CCC683DE"/>
    <w:lvl w:ilvl="0" w:tplc="195E8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53732F"/>
    <w:multiLevelType w:val="hybridMultilevel"/>
    <w:tmpl w:val="5026509A"/>
    <w:lvl w:ilvl="0" w:tplc="195E84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C42B88"/>
    <w:multiLevelType w:val="hybridMultilevel"/>
    <w:tmpl w:val="6F5A427C"/>
    <w:lvl w:ilvl="0" w:tplc="195E84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0B50B5"/>
    <w:multiLevelType w:val="hybridMultilevel"/>
    <w:tmpl w:val="FAB23410"/>
    <w:lvl w:ilvl="0" w:tplc="195E8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8A353B"/>
    <w:multiLevelType w:val="hybridMultilevel"/>
    <w:tmpl w:val="B1AA4648"/>
    <w:lvl w:ilvl="0" w:tplc="195E8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583C12"/>
    <w:multiLevelType w:val="hybridMultilevel"/>
    <w:tmpl w:val="7228ED52"/>
    <w:lvl w:ilvl="0" w:tplc="195E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50EE8"/>
    <w:multiLevelType w:val="hybridMultilevel"/>
    <w:tmpl w:val="CC8A6BF0"/>
    <w:lvl w:ilvl="0" w:tplc="FD6E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732B0A"/>
    <w:multiLevelType w:val="hybridMultilevel"/>
    <w:tmpl w:val="A420F242"/>
    <w:lvl w:ilvl="0" w:tplc="195E8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0F01BB"/>
    <w:multiLevelType w:val="hybridMultilevel"/>
    <w:tmpl w:val="1598EF3C"/>
    <w:lvl w:ilvl="0" w:tplc="195E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20846"/>
    <w:multiLevelType w:val="hybridMultilevel"/>
    <w:tmpl w:val="1C289ADA"/>
    <w:lvl w:ilvl="0" w:tplc="7EC0FEE4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4D670B"/>
    <w:multiLevelType w:val="hybridMultilevel"/>
    <w:tmpl w:val="CBECA528"/>
    <w:lvl w:ilvl="0" w:tplc="195E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C0CE6"/>
    <w:multiLevelType w:val="hybridMultilevel"/>
    <w:tmpl w:val="ED325DF0"/>
    <w:lvl w:ilvl="0" w:tplc="3A74E1AA">
      <w:start w:val="7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18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6"/>
  </w:num>
  <w:num w:numId="16">
    <w:abstractNumId w:val="19"/>
  </w:num>
  <w:num w:numId="17">
    <w:abstractNumId w:val="13"/>
  </w:num>
  <w:num w:numId="18">
    <w:abstractNumId w:val="10"/>
  </w:num>
  <w:num w:numId="19">
    <w:abstractNumId w:val="15"/>
  </w:num>
  <w:num w:numId="20">
    <w:abstractNumId w:val="20"/>
  </w:num>
  <w:num w:numId="21">
    <w:abstractNumId w:val="1"/>
  </w:num>
  <w:num w:numId="22">
    <w:abstractNumId w:val="22"/>
  </w:num>
  <w:num w:numId="23">
    <w:abstractNumId w:val="17"/>
  </w:num>
  <w:num w:numId="24">
    <w:abstractNumId w:val="0"/>
  </w:num>
  <w:num w:numId="2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58"/>
    <w:rsid w:val="000074B2"/>
    <w:rsid w:val="00017164"/>
    <w:rsid w:val="0003090B"/>
    <w:rsid w:val="00030DAF"/>
    <w:rsid w:val="0003651D"/>
    <w:rsid w:val="00036608"/>
    <w:rsid w:val="00052463"/>
    <w:rsid w:val="000565F1"/>
    <w:rsid w:val="000565F4"/>
    <w:rsid w:val="000643A3"/>
    <w:rsid w:val="000662BA"/>
    <w:rsid w:val="00066345"/>
    <w:rsid w:val="00076039"/>
    <w:rsid w:val="0008126C"/>
    <w:rsid w:val="0009099B"/>
    <w:rsid w:val="000960A5"/>
    <w:rsid w:val="000973C5"/>
    <w:rsid w:val="000B69EA"/>
    <w:rsid w:val="000C4C20"/>
    <w:rsid w:val="000D17EA"/>
    <w:rsid w:val="000D3145"/>
    <w:rsid w:val="000D39EF"/>
    <w:rsid w:val="000E5F52"/>
    <w:rsid w:val="000E7D58"/>
    <w:rsid w:val="000F7E7F"/>
    <w:rsid w:val="00106E05"/>
    <w:rsid w:val="0011210C"/>
    <w:rsid w:val="001139D9"/>
    <w:rsid w:val="00113F31"/>
    <w:rsid w:val="00116020"/>
    <w:rsid w:val="001160A8"/>
    <w:rsid w:val="0012340F"/>
    <w:rsid w:val="0012626A"/>
    <w:rsid w:val="001264C4"/>
    <w:rsid w:val="0012747A"/>
    <w:rsid w:val="00127536"/>
    <w:rsid w:val="0014192C"/>
    <w:rsid w:val="00142E3B"/>
    <w:rsid w:val="00155620"/>
    <w:rsid w:val="001616A3"/>
    <w:rsid w:val="00162A4E"/>
    <w:rsid w:val="001664F5"/>
    <w:rsid w:val="001702FB"/>
    <w:rsid w:val="001776F6"/>
    <w:rsid w:val="0018015C"/>
    <w:rsid w:val="001850B1"/>
    <w:rsid w:val="00186262"/>
    <w:rsid w:val="00194ABB"/>
    <w:rsid w:val="00196D1C"/>
    <w:rsid w:val="001A048B"/>
    <w:rsid w:val="001A08A8"/>
    <w:rsid w:val="001A129F"/>
    <w:rsid w:val="001A2294"/>
    <w:rsid w:val="001A443B"/>
    <w:rsid w:val="001A6EF1"/>
    <w:rsid w:val="001B0E54"/>
    <w:rsid w:val="001B1E8C"/>
    <w:rsid w:val="001B4E04"/>
    <w:rsid w:val="001C0EA5"/>
    <w:rsid w:val="001C4B51"/>
    <w:rsid w:val="001D01B5"/>
    <w:rsid w:val="001D0E9E"/>
    <w:rsid w:val="001D3E12"/>
    <w:rsid w:val="001E35CD"/>
    <w:rsid w:val="001E68AE"/>
    <w:rsid w:val="00203266"/>
    <w:rsid w:val="002124B5"/>
    <w:rsid w:val="002227AD"/>
    <w:rsid w:val="00237E70"/>
    <w:rsid w:val="00244869"/>
    <w:rsid w:val="002526DB"/>
    <w:rsid w:val="002545FF"/>
    <w:rsid w:val="00255008"/>
    <w:rsid w:val="002663A6"/>
    <w:rsid w:val="00266BF9"/>
    <w:rsid w:val="00267DD7"/>
    <w:rsid w:val="00274CE7"/>
    <w:rsid w:val="00277802"/>
    <w:rsid w:val="00284FC2"/>
    <w:rsid w:val="00287A35"/>
    <w:rsid w:val="00290847"/>
    <w:rsid w:val="00291C2E"/>
    <w:rsid w:val="002A01CB"/>
    <w:rsid w:val="002A18C5"/>
    <w:rsid w:val="002A1FA1"/>
    <w:rsid w:val="002A6D13"/>
    <w:rsid w:val="002C4E01"/>
    <w:rsid w:val="002D0FE0"/>
    <w:rsid w:val="002D594C"/>
    <w:rsid w:val="002D5B58"/>
    <w:rsid w:val="002E1B31"/>
    <w:rsid w:val="002E62E5"/>
    <w:rsid w:val="002F1CC8"/>
    <w:rsid w:val="002F4CEC"/>
    <w:rsid w:val="002F5AAF"/>
    <w:rsid w:val="0030537E"/>
    <w:rsid w:val="00320265"/>
    <w:rsid w:val="003210B3"/>
    <w:rsid w:val="003278C0"/>
    <w:rsid w:val="003350E3"/>
    <w:rsid w:val="0034457A"/>
    <w:rsid w:val="00360069"/>
    <w:rsid w:val="00364B44"/>
    <w:rsid w:val="00365273"/>
    <w:rsid w:val="003738CB"/>
    <w:rsid w:val="00373F51"/>
    <w:rsid w:val="0037677C"/>
    <w:rsid w:val="00380C04"/>
    <w:rsid w:val="00391B1C"/>
    <w:rsid w:val="00397980"/>
    <w:rsid w:val="003B5986"/>
    <w:rsid w:val="003C3B1A"/>
    <w:rsid w:val="003D111C"/>
    <w:rsid w:val="003D66F7"/>
    <w:rsid w:val="003E35F0"/>
    <w:rsid w:val="003E6C84"/>
    <w:rsid w:val="0040369E"/>
    <w:rsid w:val="004036FC"/>
    <w:rsid w:val="00407F30"/>
    <w:rsid w:val="004135ED"/>
    <w:rsid w:val="0042544B"/>
    <w:rsid w:val="0042679B"/>
    <w:rsid w:val="00427C82"/>
    <w:rsid w:val="00430B75"/>
    <w:rsid w:val="00441A27"/>
    <w:rsid w:val="00445D41"/>
    <w:rsid w:val="00450F5A"/>
    <w:rsid w:val="0045105B"/>
    <w:rsid w:val="004531D8"/>
    <w:rsid w:val="00453E28"/>
    <w:rsid w:val="004615AA"/>
    <w:rsid w:val="004664A9"/>
    <w:rsid w:val="00472E64"/>
    <w:rsid w:val="0047710E"/>
    <w:rsid w:val="00481672"/>
    <w:rsid w:val="0049250E"/>
    <w:rsid w:val="00495EE9"/>
    <w:rsid w:val="004B37C7"/>
    <w:rsid w:val="004C3D51"/>
    <w:rsid w:val="004D13C2"/>
    <w:rsid w:val="004D2169"/>
    <w:rsid w:val="004D2E9F"/>
    <w:rsid w:val="004D7254"/>
    <w:rsid w:val="004E0E01"/>
    <w:rsid w:val="004E0E5D"/>
    <w:rsid w:val="004F2A23"/>
    <w:rsid w:val="005061A6"/>
    <w:rsid w:val="00506C83"/>
    <w:rsid w:val="00521F2F"/>
    <w:rsid w:val="0054286B"/>
    <w:rsid w:val="00544FBE"/>
    <w:rsid w:val="00566B61"/>
    <w:rsid w:val="00567B3A"/>
    <w:rsid w:val="00570B73"/>
    <w:rsid w:val="0059079A"/>
    <w:rsid w:val="005C4AC1"/>
    <w:rsid w:val="005C506B"/>
    <w:rsid w:val="005E31C8"/>
    <w:rsid w:val="005F0F95"/>
    <w:rsid w:val="005F1601"/>
    <w:rsid w:val="006053E4"/>
    <w:rsid w:val="00613994"/>
    <w:rsid w:val="0063694B"/>
    <w:rsid w:val="00641B6C"/>
    <w:rsid w:val="00643068"/>
    <w:rsid w:val="00645F32"/>
    <w:rsid w:val="006518F8"/>
    <w:rsid w:val="00651B29"/>
    <w:rsid w:val="00654B0A"/>
    <w:rsid w:val="0066584F"/>
    <w:rsid w:val="0067689E"/>
    <w:rsid w:val="00680A5C"/>
    <w:rsid w:val="00686E69"/>
    <w:rsid w:val="00690915"/>
    <w:rsid w:val="006946EE"/>
    <w:rsid w:val="00694A91"/>
    <w:rsid w:val="006A4748"/>
    <w:rsid w:val="006A6801"/>
    <w:rsid w:val="006B3A0E"/>
    <w:rsid w:val="006B7010"/>
    <w:rsid w:val="006C08A1"/>
    <w:rsid w:val="006C23B0"/>
    <w:rsid w:val="006D6C51"/>
    <w:rsid w:val="006E0FF8"/>
    <w:rsid w:val="006E5133"/>
    <w:rsid w:val="006F7093"/>
    <w:rsid w:val="00701A05"/>
    <w:rsid w:val="00702E0A"/>
    <w:rsid w:val="00707382"/>
    <w:rsid w:val="0070773B"/>
    <w:rsid w:val="00714287"/>
    <w:rsid w:val="0071450E"/>
    <w:rsid w:val="00715F0E"/>
    <w:rsid w:val="00717E25"/>
    <w:rsid w:val="007225F1"/>
    <w:rsid w:val="007324B3"/>
    <w:rsid w:val="00732EEB"/>
    <w:rsid w:val="00733377"/>
    <w:rsid w:val="00733E37"/>
    <w:rsid w:val="007379FF"/>
    <w:rsid w:val="0074078A"/>
    <w:rsid w:val="00741045"/>
    <w:rsid w:val="00742995"/>
    <w:rsid w:val="00764EE1"/>
    <w:rsid w:val="00775545"/>
    <w:rsid w:val="007851B8"/>
    <w:rsid w:val="00794870"/>
    <w:rsid w:val="007A48D8"/>
    <w:rsid w:val="007A6C45"/>
    <w:rsid w:val="007A6E9A"/>
    <w:rsid w:val="007A73EE"/>
    <w:rsid w:val="007D6D33"/>
    <w:rsid w:val="007D7989"/>
    <w:rsid w:val="00812C7F"/>
    <w:rsid w:val="0081465B"/>
    <w:rsid w:val="008160D5"/>
    <w:rsid w:val="008204AE"/>
    <w:rsid w:val="008236E6"/>
    <w:rsid w:val="008310AE"/>
    <w:rsid w:val="00834DF4"/>
    <w:rsid w:val="00834ED3"/>
    <w:rsid w:val="00836246"/>
    <w:rsid w:val="00841824"/>
    <w:rsid w:val="00847679"/>
    <w:rsid w:val="008622DE"/>
    <w:rsid w:val="00862499"/>
    <w:rsid w:val="00873A0B"/>
    <w:rsid w:val="008840B7"/>
    <w:rsid w:val="008842D1"/>
    <w:rsid w:val="008878B9"/>
    <w:rsid w:val="00894BC0"/>
    <w:rsid w:val="00897AD3"/>
    <w:rsid w:val="008A2525"/>
    <w:rsid w:val="008A33D7"/>
    <w:rsid w:val="008B089B"/>
    <w:rsid w:val="008B62DB"/>
    <w:rsid w:val="008C09DB"/>
    <w:rsid w:val="008C107F"/>
    <w:rsid w:val="008D1D26"/>
    <w:rsid w:val="008E09C8"/>
    <w:rsid w:val="008F13E8"/>
    <w:rsid w:val="008F3652"/>
    <w:rsid w:val="00905C3D"/>
    <w:rsid w:val="0090688F"/>
    <w:rsid w:val="00922CD8"/>
    <w:rsid w:val="00932E9F"/>
    <w:rsid w:val="00935D89"/>
    <w:rsid w:val="0095266B"/>
    <w:rsid w:val="009539E3"/>
    <w:rsid w:val="00957A3B"/>
    <w:rsid w:val="00960DDD"/>
    <w:rsid w:val="00962987"/>
    <w:rsid w:val="0096429E"/>
    <w:rsid w:val="00976AA4"/>
    <w:rsid w:val="0098141F"/>
    <w:rsid w:val="009851C3"/>
    <w:rsid w:val="00987458"/>
    <w:rsid w:val="00994505"/>
    <w:rsid w:val="00996665"/>
    <w:rsid w:val="009A3827"/>
    <w:rsid w:val="009B2280"/>
    <w:rsid w:val="009C43D6"/>
    <w:rsid w:val="009C4FF7"/>
    <w:rsid w:val="009C650C"/>
    <w:rsid w:val="009C6993"/>
    <w:rsid w:val="009D31D9"/>
    <w:rsid w:val="009E3ADC"/>
    <w:rsid w:val="009F3060"/>
    <w:rsid w:val="009F49D9"/>
    <w:rsid w:val="009F6154"/>
    <w:rsid w:val="009F650A"/>
    <w:rsid w:val="00A06688"/>
    <w:rsid w:val="00A14A37"/>
    <w:rsid w:val="00A250F6"/>
    <w:rsid w:val="00A47B02"/>
    <w:rsid w:val="00A64CFF"/>
    <w:rsid w:val="00A8369E"/>
    <w:rsid w:val="00A84226"/>
    <w:rsid w:val="00A843EF"/>
    <w:rsid w:val="00AA4FCC"/>
    <w:rsid w:val="00AD0129"/>
    <w:rsid w:val="00AF0115"/>
    <w:rsid w:val="00AF18DF"/>
    <w:rsid w:val="00AF3FDE"/>
    <w:rsid w:val="00AF61E0"/>
    <w:rsid w:val="00AF64CA"/>
    <w:rsid w:val="00B03394"/>
    <w:rsid w:val="00B03B2C"/>
    <w:rsid w:val="00B16967"/>
    <w:rsid w:val="00B25597"/>
    <w:rsid w:val="00B26874"/>
    <w:rsid w:val="00B31675"/>
    <w:rsid w:val="00B32B70"/>
    <w:rsid w:val="00B40756"/>
    <w:rsid w:val="00B4510B"/>
    <w:rsid w:val="00B515DC"/>
    <w:rsid w:val="00B6265D"/>
    <w:rsid w:val="00B666E0"/>
    <w:rsid w:val="00B76526"/>
    <w:rsid w:val="00B8011A"/>
    <w:rsid w:val="00B804E0"/>
    <w:rsid w:val="00B80682"/>
    <w:rsid w:val="00B86D1B"/>
    <w:rsid w:val="00B87FF6"/>
    <w:rsid w:val="00B92ED0"/>
    <w:rsid w:val="00B9611A"/>
    <w:rsid w:val="00BB4117"/>
    <w:rsid w:val="00BB6A07"/>
    <w:rsid w:val="00BC39C7"/>
    <w:rsid w:val="00BC60DF"/>
    <w:rsid w:val="00BC70C5"/>
    <w:rsid w:val="00BD2F85"/>
    <w:rsid w:val="00BD45FB"/>
    <w:rsid w:val="00BE25C3"/>
    <w:rsid w:val="00BE687A"/>
    <w:rsid w:val="00BF360D"/>
    <w:rsid w:val="00BF4BAD"/>
    <w:rsid w:val="00C015C1"/>
    <w:rsid w:val="00C05D27"/>
    <w:rsid w:val="00C07866"/>
    <w:rsid w:val="00C219D8"/>
    <w:rsid w:val="00C2517C"/>
    <w:rsid w:val="00C302DD"/>
    <w:rsid w:val="00C30C0B"/>
    <w:rsid w:val="00C52715"/>
    <w:rsid w:val="00C57268"/>
    <w:rsid w:val="00C5751E"/>
    <w:rsid w:val="00C62D14"/>
    <w:rsid w:val="00C76B22"/>
    <w:rsid w:val="00C82212"/>
    <w:rsid w:val="00C82784"/>
    <w:rsid w:val="00C84E03"/>
    <w:rsid w:val="00C91821"/>
    <w:rsid w:val="00C92B62"/>
    <w:rsid w:val="00CA1674"/>
    <w:rsid w:val="00CA40A8"/>
    <w:rsid w:val="00CA4D8D"/>
    <w:rsid w:val="00CA57CC"/>
    <w:rsid w:val="00CA5A40"/>
    <w:rsid w:val="00CA75C4"/>
    <w:rsid w:val="00CB034C"/>
    <w:rsid w:val="00CB0EF2"/>
    <w:rsid w:val="00CC3D81"/>
    <w:rsid w:val="00CF4AD9"/>
    <w:rsid w:val="00CF626E"/>
    <w:rsid w:val="00CF723A"/>
    <w:rsid w:val="00D113B1"/>
    <w:rsid w:val="00D239B7"/>
    <w:rsid w:val="00D2520A"/>
    <w:rsid w:val="00D269E3"/>
    <w:rsid w:val="00D35EB7"/>
    <w:rsid w:val="00D40D92"/>
    <w:rsid w:val="00D44A87"/>
    <w:rsid w:val="00D45025"/>
    <w:rsid w:val="00D52005"/>
    <w:rsid w:val="00D528BA"/>
    <w:rsid w:val="00D55580"/>
    <w:rsid w:val="00D61773"/>
    <w:rsid w:val="00D74F02"/>
    <w:rsid w:val="00D82F50"/>
    <w:rsid w:val="00D83378"/>
    <w:rsid w:val="00D90804"/>
    <w:rsid w:val="00D916B7"/>
    <w:rsid w:val="00D92063"/>
    <w:rsid w:val="00D92A39"/>
    <w:rsid w:val="00D9461E"/>
    <w:rsid w:val="00D95045"/>
    <w:rsid w:val="00D95DD1"/>
    <w:rsid w:val="00DA1B14"/>
    <w:rsid w:val="00DA1CE0"/>
    <w:rsid w:val="00DA5A8C"/>
    <w:rsid w:val="00DA60D9"/>
    <w:rsid w:val="00DA66A5"/>
    <w:rsid w:val="00DA7146"/>
    <w:rsid w:val="00DA7B78"/>
    <w:rsid w:val="00DB4EC7"/>
    <w:rsid w:val="00DB7375"/>
    <w:rsid w:val="00DD0928"/>
    <w:rsid w:val="00DE7480"/>
    <w:rsid w:val="00DF0B66"/>
    <w:rsid w:val="00E02A18"/>
    <w:rsid w:val="00E11C58"/>
    <w:rsid w:val="00E12432"/>
    <w:rsid w:val="00E14892"/>
    <w:rsid w:val="00E170FC"/>
    <w:rsid w:val="00E27DCC"/>
    <w:rsid w:val="00E310F6"/>
    <w:rsid w:val="00E37401"/>
    <w:rsid w:val="00E424DD"/>
    <w:rsid w:val="00E47212"/>
    <w:rsid w:val="00E51E5D"/>
    <w:rsid w:val="00E56638"/>
    <w:rsid w:val="00E641C5"/>
    <w:rsid w:val="00E721B7"/>
    <w:rsid w:val="00E75200"/>
    <w:rsid w:val="00E8071B"/>
    <w:rsid w:val="00E86455"/>
    <w:rsid w:val="00EB425B"/>
    <w:rsid w:val="00EC0739"/>
    <w:rsid w:val="00EC47CB"/>
    <w:rsid w:val="00ED08CB"/>
    <w:rsid w:val="00ED2996"/>
    <w:rsid w:val="00ED7374"/>
    <w:rsid w:val="00EE2450"/>
    <w:rsid w:val="00EF7B94"/>
    <w:rsid w:val="00F014C3"/>
    <w:rsid w:val="00F01D0F"/>
    <w:rsid w:val="00F10025"/>
    <w:rsid w:val="00F12F7E"/>
    <w:rsid w:val="00F15B0A"/>
    <w:rsid w:val="00F21046"/>
    <w:rsid w:val="00F27DA4"/>
    <w:rsid w:val="00F37F17"/>
    <w:rsid w:val="00F500CD"/>
    <w:rsid w:val="00F60CD2"/>
    <w:rsid w:val="00F739AF"/>
    <w:rsid w:val="00F757B5"/>
    <w:rsid w:val="00F772DD"/>
    <w:rsid w:val="00F80ED9"/>
    <w:rsid w:val="00F9475B"/>
    <w:rsid w:val="00F95DAE"/>
    <w:rsid w:val="00FA3C6C"/>
    <w:rsid w:val="00FA4458"/>
    <w:rsid w:val="00FA7318"/>
    <w:rsid w:val="00FA7B9F"/>
    <w:rsid w:val="00FA7E4F"/>
    <w:rsid w:val="00FB0A6D"/>
    <w:rsid w:val="00FD253A"/>
    <w:rsid w:val="00FD400A"/>
    <w:rsid w:val="00FE7563"/>
    <w:rsid w:val="00FF0FF0"/>
    <w:rsid w:val="00FF69F0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C6C1"/>
  <w15:chartTrackingRefBased/>
  <w15:docId w15:val="{69FCAC23-BF18-49DF-B3AB-0647DF50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F626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1"/>
    <w:qFormat/>
    <w:rsid w:val="00C76B22"/>
    <w:pPr>
      <w:pageBreakBefore/>
      <w:widowControl w:val="0"/>
      <w:autoSpaceDE w:val="0"/>
      <w:autoSpaceDN w:val="0"/>
      <w:ind w:firstLine="0"/>
      <w:jc w:val="center"/>
      <w:outlineLvl w:val="0"/>
    </w:pPr>
    <w:rPr>
      <w:rFonts w:eastAsia="Times New Roman" w:cs="Times New Roman"/>
      <w:bCs/>
      <w:caps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D45025"/>
    <w:pPr>
      <w:keepNext/>
      <w:keepLines/>
      <w:ind w:firstLine="0"/>
      <w:jc w:val="center"/>
      <w:outlineLvl w:val="1"/>
    </w:pPr>
    <w:rPr>
      <w:rFonts w:eastAsiaTheme="majorEastAsia" w:cstheme="majorBidi"/>
      <w:cap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C0EA5"/>
    <w:pPr>
      <w:keepNext/>
      <w:keepLines/>
      <w:ind w:firstLine="0"/>
      <w:jc w:val="center"/>
      <w:outlineLvl w:val="2"/>
    </w:pPr>
    <w:rPr>
      <w:rFonts w:eastAsiaTheme="majorEastAsia" w:cstheme="majorBid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A048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qFormat/>
    <w:rsid w:val="001A048B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1A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1"/>
    <w:link w:val="1"/>
    <w:uiPriority w:val="1"/>
    <w:rsid w:val="00C76B22"/>
    <w:rPr>
      <w:rFonts w:ascii="Times New Roman" w:eastAsia="Times New Roman" w:hAnsi="Times New Roman" w:cs="Times New Roman"/>
      <w:bCs/>
      <w:cap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0E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D45025"/>
    <w:pPr>
      <w:widowControl w:val="0"/>
      <w:autoSpaceDE w:val="0"/>
      <w:autoSpaceDN w:val="0"/>
    </w:pPr>
    <w:rPr>
      <w:rFonts w:eastAsia="Times New Roman" w:cs="Times New Roman"/>
      <w:szCs w:val="28"/>
      <w:lang w:eastAsia="en-US"/>
    </w:rPr>
  </w:style>
  <w:style w:type="character" w:customStyle="1" w:styleId="a5">
    <w:name w:val="Основной текст Знак"/>
    <w:basedOn w:val="a1"/>
    <w:link w:val="a4"/>
    <w:uiPriority w:val="1"/>
    <w:rsid w:val="00D4502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4E0E01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D45025"/>
    <w:rPr>
      <w:rFonts w:ascii="Times New Roman" w:eastAsiaTheme="majorEastAsia" w:hAnsi="Times New Roman" w:cstheme="majorBidi"/>
      <w:caps/>
      <w:sz w:val="28"/>
      <w:szCs w:val="26"/>
    </w:rPr>
  </w:style>
  <w:style w:type="paragraph" w:styleId="11">
    <w:name w:val="toc 1"/>
    <w:basedOn w:val="a0"/>
    <w:next w:val="a0"/>
    <w:autoRedefine/>
    <w:uiPriority w:val="39"/>
    <w:unhideWhenUsed/>
    <w:rsid w:val="00A84226"/>
    <w:pPr>
      <w:tabs>
        <w:tab w:val="right" w:leader="dot" w:pos="9344"/>
      </w:tabs>
      <w:spacing w:after="100"/>
    </w:pPr>
  </w:style>
  <w:style w:type="paragraph" w:styleId="a6">
    <w:name w:val="Title"/>
    <w:basedOn w:val="a0"/>
    <w:next w:val="a0"/>
    <w:link w:val="a7"/>
    <w:uiPriority w:val="10"/>
    <w:qFormat/>
    <w:rsid w:val="00C76B22"/>
    <w:pPr>
      <w:pageBreakBefore/>
      <w:ind w:firstLine="0"/>
      <w:contextualSpacing/>
      <w:jc w:val="center"/>
    </w:pPr>
    <w:rPr>
      <w:rFonts w:eastAsiaTheme="majorEastAsia" w:cstheme="majorBidi"/>
      <w:caps/>
      <w:spacing w:val="-10"/>
      <w:kern w:val="28"/>
      <w:szCs w:val="56"/>
    </w:rPr>
  </w:style>
  <w:style w:type="character" w:customStyle="1" w:styleId="a7">
    <w:name w:val="Заголовок Знак"/>
    <w:basedOn w:val="a1"/>
    <w:link w:val="a6"/>
    <w:uiPriority w:val="10"/>
    <w:rsid w:val="00C76B22"/>
    <w:rPr>
      <w:rFonts w:ascii="Times New Roman" w:eastAsiaTheme="majorEastAsia" w:hAnsi="Times New Roman" w:cstheme="majorBidi"/>
      <w:caps/>
      <w:spacing w:val="-10"/>
      <w:kern w:val="28"/>
      <w:sz w:val="28"/>
      <w:szCs w:val="56"/>
    </w:rPr>
  </w:style>
  <w:style w:type="paragraph" w:styleId="a">
    <w:name w:val="List Paragraph"/>
    <w:basedOn w:val="a0"/>
    <w:uiPriority w:val="34"/>
    <w:qFormat/>
    <w:rsid w:val="00F37F17"/>
    <w:pPr>
      <w:numPr>
        <w:numId w:val="5"/>
      </w:numPr>
      <w:ind w:left="0" w:firstLine="709"/>
      <w:contextualSpacing/>
    </w:pPr>
  </w:style>
  <w:style w:type="paragraph" w:styleId="a8">
    <w:name w:val="footnote text"/>
    <w:basedOn w:val="a0"/>
    <w:link w:val="a9"/>
    <w:uiPriority w:val="99"/>
    <w:unhideWhenUsed/>
    <w:rsid w:val="00CC3D81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CC3D81"/>
    <w:rPr>
      <w:rFonts w:ascii="Times New Roman" w:hAnsi="Times New Roman"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CC3D81"/>
    <w:rPr>
      <w:vertAlign w:val="superscript"/>
    </w:rPr>
  </w:style>
  <w:style w:type="character" w:styleId="ab">
    <w:name w:val="Hyperlink"/>
    <w:basedOn w:val="a1"/>
    <w:uiPriority w:val="99"/>
    <w:unhideWhenUsed/>
    <w:rsid w:val="001A08A8"/>
    <w:rPr>
      <w:color w:val="0563C1" w:themeColor="hyperlink"/>
      <w:u w:val="single"/>
    </w:rPr>
  </w:style>
  <w:style w:type="paragraph" w:styleId="ac">
    <w:name w:val="endnote text"/>
    <w:basedOn w:val="a0"/>
    <w:link w:val="ad"/>
    <w:uiPriority w:val="99"/>
    <w:semiHidden/>
    <w:unhideWhenUsed/>
    <w:rsid w:val="00CA4D8D"/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CA4D8D"/>
    <w:rPr>
      <w:rFonts w:ascii="Times New Roman" w:hAnsi="Times New Roman"/>
      <w:sz w:val="20"/>
      <w:szCs w:val="20"/>
    </w:rPr>
  </w:style>
  <w:style w:type="character" w:styleId="ae">
    <w:name w:val="endnote reference"/>
    <w:basedOn w:val="a1"/>
    <w:uiPriority w:val="99"/>
    <w:semiHidden/>
    <w:unhideWhenUsed/>
    <w:rsid w:val="00CA4D8D"/>
    <w:rPr>
      <w:vertAlign w:val="superscript"/>
    </w:rPr>
  </w:style>
  <w:style w:type="table" w:styleId="af">
    <w:name w:val="Table Grid"/>
    <w:basedOn w:val="a2"/>
    <w:uiPriority w:val="39"/>
    <w:rsid w:val="0032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1"/>
    <w:uiPriority w:val="99"/>
    <w:semiHidden/>
    <w:rsid w:val="00391B1C"/>
    <w:rPr>
      <w:color w:val="808080"/>
    </w:rPr>
  </w:style>
  <w:style w:type="character" w:customStyle="1" w:styleId="30">
    <w:name w:val="Заголовок 3 Знак"/>
    <w:basedOn w:val="a1"/>
    <w:link w:val="3"/>
    <w:uiPriority w:val="9"/>
    <w:semiHidden/>
    <w:rsid w:val="001C0EA5"/>
    <w:rPr>
      <w:rFonts w:ascii="Times New Roman" w:eastAsiaTheme="majorEastAsia" w:hAnsi="Times New Roman" w:cstheme="majorBidi"/>
      <w:sz w:val="28"/>
      <w:szCs w:val="24"/>
    </w:rPr>
  </w:style>
  <w:style w:type="paragraph" w:customStyle="1" w:styleId="af1">
    <w:name w:val="Рисунок"/>
    <w:basedOn w:val="a4"/>
    <w:qFormat/>
    <w:rsid w:val="00847679"/>
    <w:pPr>
      <w:ind w:firstLine="0"/>
      <w:jc w:val="center"/>
    </w:pPr>
    <w:rPr>
      <w:noProof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F12F7E"/>
    <w:rPr>
      <w:color w:val="605E5C"/>
      <w:shd w:val="clear" w:color="auto" w:fill="E1DFDD"/>
    </w:rPr>
  </w:style>
  <w:style w:type="paragraph" w:styleId="af2">
    <w:name w:val="header"/>
    <w:basedOn w:val="a0"/>
    <w:link w:val="af3"/>
    <w:uiPriority w:val="99"/>
    <w:unhideWhenUsed/>
    <w:rsid w:val="00DE7480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DE7480"/>
    <w:rPr>
      <w:rFonts w:ascii="Times New Roman" w:hAnsi="Times New Roman"/>
      <w:sz w:val="28"/>
    </w:rPr>
  </w:style>
  <w:style w:type="paragraph" w:styleId="af4">
    <w:name w:val="footer"/>
    <w:basedOn w:val="a0"/>
    <w:link w:val="af5"/>
    <w:uiPriority w:val="99"/>
    <w:unhideWhenUsed/>
    <w:rsid w:val="00DE7480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DE7480"/>
    <w:rPr>
      <w:rFonts w:ascii="Times New Roman" w:hAnsi="Times New Roman"/>
      <w:sz w:val="28"/>
    </w:rPr>
  </w:style>
  <w:style w:type="paragraph" w:styleId="af6">
    <w:name w:val="No Spacing"/>
    <w:uiPriority w:val="1"/>
    <w:qFormat/>
    <w:rsid w:val="001D01B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797B-507C-4A9A-9332-3D8BE8C4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8587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17</cp:revision>
  <dcterms:created xsi:type="dcterms:W3CDTF">2023-05-16T18:37:00Z</dcterms:created>
  <dcterms:modified xsi:type="dcterms:W3CDTF">2025-01-31T04:34:00Z</dcterms:modified>
</cp:coreProperties>
</file>