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ПРИЛОЖЕНИЕ А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положения программы учебно-исследовательской работы</w:t>
      </w:r>
    </w:p>
    <w:p w14:paraId="04000000">
      <w:pPr>
        <w:sectPr>
          <w:pgSz w:h="16838" w:orient="portrait" w:w="11906"/>
          <w:pgMar w:bottom="1134" w:footer="709" w:gutter="0" w:header="709" w:left="1701" w:right="567" w:top="1134"/>
        </w:sectPr>
      </w:pPr>
    </w:p>
    <w:p w14:paraId="05000000">
      <w:pPr>
        <w:rPr>
          <w:rFonts w:ascii="Calibri" w:hAnsi="Calibri"/>
        </w:rPr>
      </w:pPr>
    </w:p>
    <w:p w14:paraId="06000000">
      <w:pPr>
        <w:tabs>
          <w:tab w:leader="none" w:pos="992" w:val="left"/>
          <w:tab w:leader="none" w:pos="1134" w:val="left"/>
        </w:tabs>
        <w:spacing w:after="0" w:line="36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Calibri" w:hAnsi="Calibri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9945370" cy="34671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99453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Тема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Совершенствование таможенного регулирования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как фактор развития российского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wave"/>
                              </w:rPr>
                              <w:t>судостроения</w:t>
                            </w:r>
                          </w:p>
                          <w:p w14:paraId="08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alibri" w:hAnsi="Calibri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margin">
                  <wp:align>right</wp:align>
                </wp:positionH>
                <wp:positionV relativeFrom="paragraph">
                  <wp:posOffset>1242695</wp:posOffset>
                </wp:positionV>
                <wp:extent cx="6938644" cy="6026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938644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09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Предмет: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пути с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овершенствования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таможенного регулирования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как фактор развития российского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wave"/>
                              </w:rPr>
                              <w:t>судостроения</w:t>
                            </w:r>
                          </w:p>
                          <w:p w14:paraId="0A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B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-11430</wp:posOffset>
                </wp:positionH>
                <wp:positionV relativeFrom="paragraph">
                  <wp:posOffset>821055</wp:posOffset>
                </wp:positionV>
                <wp:extent cx="9945370" cy="3181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99453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0C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Ключевые слова темы: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таможенное регулирование,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фактор развития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российско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wave"/>
                              </w:rPr>
                              <w:t>судостроени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wave"/>
                              </w:rPr>
                              <w:t>е, с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овершенствование</w:t>
                            </w:r>
                          </w:p>
                          <w:p w14:paraId="0D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alibri" w:hAnsi="Calibri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-20955</wp:posOffset>
                </wp:positionH>
                <wp:positionV relativeFrom="paragraph">
                  <wp:posOffset>1196340</wp:posOffset>
                </wp:positionV>
                <wp:extent cx="2938145" cy="60007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93814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0E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Объект: </w:t>
                            </w:r>
                          </w:p>
                          <w:p w14:paraId="0F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таможенное регулирование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alibri" w:hAnsi="Calibri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margin">
                  <wp:align>left</wp:align>
                </wp:positionH>
                <wp:positionV relativeFrom="paragraph">
                  <wp:posOffset>1889760</wp:posOffset>
                </wp:positionV>
                <wp:extent cx="2420620" cy="165544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420620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0000000">
                            <w:pPr>
                              <w:pStyle w:val="Style_1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Цель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аключается в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 xml:space="preserve">совершенствовании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таможенного регулирования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как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фактор развития российского судостроения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и максимизации добавленной стоимости в отрасли</w:t>
                            </w:r>
                          </w:p>
                          <w:p w14:paraId="11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alibri" w:hAnsi="Calibri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margin">
                  <wp:align>right</wp:align>
                </wp:positionH>
                <wp:positionV relativeFrom="paragraph">
                  <wp:posOffset>1916429</wp:posOffset>
                </wp:positionV>
                <wp:extent cx="7400925" cy="163830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74009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2000000">
                            <w:pPr>
                              <w:pStyle w:val="Style_1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Задачи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:</w:t>
                            </w:r>
                          </w:p>
                          <w:p w14:paraId="13000000">
                            <w:pPr>
                              <w:pStyle w:val="Style_1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1) развитие теоретических основ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таможенного регулирования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, направленных на повышение качества государственной услуги, предоставляемой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таможенными органами</w:t>
                            </w:r>
                          </w:p>
                          <w:p w14:paraId="14000000">
                            <w:pPr>
                              <w:pStyle w:val="Style_1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2) определение влияния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мер таможенного регулирования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развитие</w:t>
                            </w:r>
                          </w:p>
                          <w:p w14:paraId="15000000">
                            <w:pPr>
                              <w:pStyle w:val="Style_1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судостроения</w:t>
                            </w:r>
                          </w:p>
                          <w:p w14:paraId="16000000">
                            <w:pPr>
                              <w:pStyle w:val="Style_1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перспективы развития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комплексной государственной поддержк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удостроения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совместно с мерами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таможенного регулирования</w:t>
                            </w:r>
                          </w:p>
                          <w:p w14:paraId="17000000">
                            <w:pPr>
                              <w:pStyle w:val="Style_1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alibri" w:hAnsi="Calibri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-1270</wp:posOffset>
                </wp:positionH>
                <wp:positionV relativeFrom="page">
                  <wp:posOffset>4387851</wp:posOffset>
                </wp:positionV>
                <wp:extent cx="9958070" cy="120650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995807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8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План</w:t>
                            </w:r>
                          </w:p>
                          <w:p w14:paraId="19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1. Анализ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влияния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таможенного регулирования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развитие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 xml:space="preserve">судостроения </w:t>
                            </w:r>
                          </w:p>
                          <w:p w14:paraId="1A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2. Развитие методических основ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таможенного регулирования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перемещения продукции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судостроения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через таможенную границу</w:t>
                            </w:r>
                          </w:p>
                          <w:p w14:paraId="1B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Пути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совершенствования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таможенного регулирования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перемещения продукции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  <w:u w:val="single"/>
                              </w:rPr>
                              <w:t>судостроения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через таможенную границу</w:t>
                            </w:r>
                          </w:p>
                          <w:p w14:paraId="1C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alibri" w:hAnsi="Calibri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ge">
                  <wp:posOffset>5698491</wp:posOffset>
                </wp:positionV>
                <wp:extent cx="10027921" cy="147828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0027921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D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Методы научных исследований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:</w:t>
                            </w:r>
                          </w:p>
                          <w:p w14:paraId="1E000000">
                            <w:pPr>
                              <w:pStyle w:val="Style_1"/>
                              <w:spacing w:after="0"/>
                              <w:ind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Анализ,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интез,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сторический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, с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истемного анализа,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налогия, сравнения,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экономико-статистические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pgSz w:h="11906" w:orient="landscape" w:w="16838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List Paragraph"/>
    <w:basedOn w:val="Style_1"/>
    <w:link w:val="Style_2_ch"/>
    <w:pPr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Normal (Web)"/>
    <w:basedOn w:val="Style_1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1_ch"/>
    <w:link w:val="Style_7"/>
    <w:rPr>
      <w:rFonts w:ascii="Times New Roman" w:hAnsi="Times New Roman"/>
      <w:sz w:val="24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llowedHyperlink"/>
    <w:basedOn w:val="Style_10"/>
    <w:link w:val="Style_9_ch"/>
    <w:rPr>
      <w:color w:themeColor="followedHyperlink" w:val="954F72"/>
      <w:u w:val="single"/>
    </w:rPr>
  </w:style>
  <w:style w:styleId="Style_9_ch" w:type="character">
    <w:name w:val="FollowedHyperlink"/>
    <w:basedOn w:val="Style_10_ch"/>
    <w:link w:val="Style_9"/>
    <w:rPr>
      <w:color w:themeColor="followedHyperlink" w:val="954F72"/>
      <w:u w:val="single"/>
    </w:rPr>
  </w:style>
  <w:style w:styleId="Style_11" w:type="paragraph">
    <w:name w:val="header"/>
    <w:basedOn w:val="Style_1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1_ch"/>
    <w:link w:val="Style_11"/>
  </w:style>
  <w:style w:styleId="Style_12" w:type="paragraph">
    <w:name w:val="footer"/>
    <w:basedOn w:val="Style_1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1_ch"/>
    <w:link w:val="Style_12"/>
  </w:style>
  <w:style w:styleId="Style_13" w:type="paragraph">
    <w:name w:val="headertext"/>
    <w:basedOn w:val="Style_1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headertext"/>
    <w:basedOn w:val="Style_1_ch"/>
    <w:link w:val="Style_13"/>
    <w:rPr>
      <w:rFonts w:ascii="Times New Roman" w:hAnsi="Times New Roman"/>
      <w:sz w:val="24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serp-url__item"/>
    <w:basedOn w:val="Style_10"/>
    <w:link w:val="Style_15_ch"/>
  </w:style>
  <w:style w:styleId="Style_15_ch" w:type="character">
    <w:name w:val="serp-url__item"/>
    <w:basedOn w:val="Style_10_ch"/>
    <w:link w:val="Style_15"/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Emphasis"/>
    <w:link w:val="Style_18_ch"/>
    <w:rPr>
      <w:i w:val="1"/>
    </w:rPr>
  </w:style>
  <w:style w:styleId="Style_18_ch" w:type="character">
    <w:name w:val="Emphasis"/>
    <w:link w:val="Style_18"/>
    <w:rPr>
      <w:i w:val="1"/>
    </w:rPr>
  </w:style>
  <w:style w:styleId="Style_19" w:type="paragraph">
    <w:name w:val="Hyperlink"/>
    <w:basedOn w:val="Style_10"/>
    <w:link w:val="Style_19_ch"/>
    <w:rPr>
      <w:color w:themeColor="hyperlink" w:val="0563C1"/>
      <w:u w:val="single"/>
    </w:rPr>
  </w:style>
  <w:style w:styleId="Style_19_ch" w:type="character">
    <w:name w:val="Hyperlink"/>
    <w:basedOn w:val="Style_10_ch"/>
    <w:link w:val="Style_19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1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1_ch"/>
    <w:link w:val="Style_27"/>
    <w:rPr>
      <w:rFonts w:ascii="Segoe UI" w:hAnsi="Segoe UI"/>
      <w:sz w:val="18"/>
    </w:rPr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Strong"/>
    <w:basedOn w:val="Style_10"/>
    <w:link w:val="Style_31_ch"/>
    <w:rPr>
      <w:b w:val="1"/>
    </w:rPr>
  </w:style>
  <w:style w:styleId="Style_31_ch" w:type="character">
    <w:name w:val="Strong"/>
    <w:basedOn w:val="Style_10_ch"/>
    <w:link w:val="Style_31"/>
    <w:rPr>
      <w:b w:val="1"/>
    </w:rPr>
  </w:style>
  <w:style w:styleId="Style_32" w:type="table">
    <w:name w:val="Сетка таблицы1"/>
    <w:basedOn w:val="Style_33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5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4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Table Grid"/>
    <w:basedOn w:val="Style_33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3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Сетка таблицы2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2023-06-21T12:26:18Z</dcterms:modified>
</cp:coreProperties>
</file>